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2B" w:rsidRDefault="0026465A" w:rsidP="004114F6">
      <w:pPr>
        <w:tabs>
          <w:tab w:val="center" w:pos="7065"/>
        </w:tabs>
        <w:spacing w:after="240"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Önkormányzata Képviselő-testülete</w:t>
      </w:r>
    </w:p>
    <w:p w:rsidR="00BA532B" w:rsidRDefault="0026465A" w:rsidP="004114F6">
      <w:pPr>
        <w:tabs>
          <w:tab w:val="center" w:pos="7065"/>
        </w:tabs>
        <w:spacing w:after="240" w:line="240" w:lineRule="auto"/>
        <w:ind w:lef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735A">
        <w:rPr>
          <w:rFonts w:ascii="Times New Roman" w:eastAsia="Times New Roman" w:hAnsi="Times New Roman" w:cs="Times New Roman"/>
          <w:sz w:val="24"/>
          <w:szCs w:val="24"/>
        </w:rPr>
        <w:t>2/2021. (I. 29.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önkormányzati rendelete</w:t>
      </w:r>
    </w:p>
    <w:p w:rsidR="00BA532B" w:rsidRDefault="0026465A" w:rsidP="004114F6">
      <w:pPr>
        <w:tabs>
          <w:tab w:val="center" w:pos="7065"/>
        </w:tabs>
        <w:spacing w:after="480"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egyes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parkolás biztosítása tárgyú önkormányzati rendeletek módosításáról</w:t>
      </w:r>
    </w:p>
    <w:p w:rsidR="005F50C8" w:rsidRDefault="005F50C8" w:rsidP="0070783E">
      <w:pPr>
        <w:tabs>
          <w:tab w:val="center" w:pos="7065"/>
        </w:tabs>
        <w:spacing w:after="480"/>
        <w:ind w:lef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XI. Kerület Újbuda Önkormányzata Polgármestere – a katasztrófavédelemről és a hozzá kapcsolódó egyes törvények módosításáról szóló 2011. évi CXXVIII. törvény 46. § (4) bekezdése alapján – a Képviselő-testületnek az Alaptörvény 32. cikk (2) bekezdésében meghatározott eredeti jogalkotói hatáskörében, a Magyarország helyi önkormányzatairól szóló 2011. évi CLXXXIX. törvény 13. § (1) bekezdés 2. pontjában meghatározott feladatkörében eljárva a következőket rendeli el:</w:t>
      </w:r>
    </w:p>
    <w:p w:rsidR="005F50C8" w:rsidRPr="00245EE3" w:rsidRDefault="00245EE3" w:rsidP="00245EE3">
      <w:pPr>
        <w:tabs>
          <w:tab w:val="center" w:pos="4595"/>
        </w:tabs>
        <w:spacing w:after="20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E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§ </w:t>
      </w:r>
      <w:r w:rsidR="005F50C8" w:rsidRPr="00245E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F50C8" w:rsidRPr="00245EE3">
        <w:rPr>
          <w:rFonts w:ascii="Times New Roman" w:eastAsia="Times New Roman" w:hAnsi="Times New Roman" w:cs="Times New Roman"/>
          <w:sz w:val="24"/>
          <w:szCs w:val="24"/>
        </w:rPr>
        <w:t>A parkolás biztosításának módjáról, a parkolóhely-létesítési kötelezettségről és a parkolóhely-megváltás eljárási szabályairól szóló 7/2018. (IV. 24.) XI.ÖK rendelet (a továbbiakban: Rendelet) 2. §</w:t>
      </w:r>
      <w:proofErr w:type="spellStart"/>
      <w:r w:rsidR="005F50C8" w:rsidRPr="00245EE3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="005F50C8" w:rsidRPr="00245EE3">
        <w:rPr>
          <w:rFonts w:ascii="Times New Roman" w:eastAsia="Times New Roman" w:hAnsi="Times New Roman" w:cs="Times New Roman"/>
          <w:sz w:val="24"/>
          <w:szCs w:val="24"/>
        </w:rPr>
        <w:t xml:space="preserve"> helyébe a következő rendelkezés lép:</w:t>
      </w:r>
    </w:p>
    <w:p w:rsidR="005F50C8" w:rsidRDefault="005F50C8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425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„2. § A rendelet hatálya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567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Budapest XI. kerület, Lágymányosi öböl és környezete kerületi építési szabályzatáról szóló önkormányzati rendelet,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567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a Budapest XI. kerület, Budaörsi út - Gazdagréti út - Rétköz utca - Háromszék utca - Sasadi út által határolt terület kerületi építési szabályzatáról szóló önkormányzati rendelet,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567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Budapest XI. kerület, Ferencváros-Kelenföld vasútvonal - Budaörsi út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Kőérberki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út - Egér út - Andor utca - Galvani út - Duna folyam által határolt terület kerületi építési szabályzatáról szóló önkormányzati rendelet,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567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</w:rPr>
        <w:t>a Budapest XI. kerület, Galvani út - Andor utca - Solt utca - Kondorosi út - Sáfrány utca - vasútvonal - kerület határ - Duna folyam által határolt terület kerületi építési szabályzatáról szóló önkormányzati rendelet,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567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Budapest XI. kerület,Budaörsi út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Kőérberki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út - Repülőtéri út - Budaörs határa által határolt terület kerületi építési szabályzatáról szóló önkormányzati rendelet,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567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sz w:val="24"/>
          <w:szCs w:val="24"/>
        </w:rPr>
        <w:t>a Budapest XI. kerület, Gazdagréti út - Rétköz u. - Háromszék u. - Sasadi út - Budaörsi út - kerület határ által határolt terület által határolt terület kerületi építési szabályzatáról szóló önkormányzati rendelet,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567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sz w:val="24"/>
          <w:szCs w:val="24"/>
        </w:rPr>
        <w:t>a Budapest XI. kerület, Pázmány Péter sétány - Magyar tudósok körútja - Magyar Nobel-díjasok útja - (4082/2) hrsz.-ú közterület által határolt terület kerületi építési szabályzatáról szóló önkormányzati rendelet,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567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Budapest XI. kerület, Budaörsi út - Budaörs határa - XII. kerület határa - Gazdagréti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út-Rétköz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utca - Gazdagréti út - Budaörsi út - M1/M7 autópálya bevezető szakasza által határolt terület kerületi építési szabályzatáról szóló önkormányzati rendelet,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567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i) </w:t>
      </w:r>
      <w:r>
        <w:rPr>
          <w:rFonts w:ascii="Times New Roman" w:eastAsia="Times New Roman" w:hAnsi="Times New Roman" w:cs="Times New Roman"/>
          <w:sz w:val="24"/>
          <w:szCs w:val="24"/>
        </w:rPr>
        <w:t>a Budapest XI. kerület, Diószegi út - Daróczi utca - Bocskai út - Karolina út által határolt terület kerületi építési szabályzatáról szóló önkormányzati rendelet,</w:t>
      </w:r>
    </w:p>
    <w:p w:rsidR="00E0536C" w:rsidRDefault="00E0536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42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851" w:hanging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j)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Budapest XI. kerület, Pázmány Péter sétány - (4107/53) hrsz.-ú közterület - Irinyi József utca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Bogdánfy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utca - Neumann János utca által határolt terület kerületi építési szabályzatáról szóló önkormányzati rendelet,</w:t>
      </w:r>
    </w:p>
    <w:p w:rsidR="005F50C8" w:rsidRPr="00E0536C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851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Budapest XI. kerület, Duna folyam - I-XI.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kerület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határa - Budaörsi út - Ferencváros-Kelenföld vasútvonal által határolt terület kerületi építési szabályzatáról szóló önkormányzati rendelet </w:t>
      </w:r>
      <w:r w:rsidRPr="00E0536C">
        <w:rPr>
          <w:rFonts w:ascii="Times New Roman" w:eastAsia="Times New Roman" w:hAnsi="Times New Roman" w:cs="Times New Roman"/>
          <w:sz w:val="24"/>
          <w:szCs w:val="24"/>
        </w:rPr>
        <w:t>és</w:t>
      </w:r>
    </w:p>
    <w:p w:rsidR="005F50C8" w:rsidRPr="00E0536C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851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36C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proofErr w:type="gramEnd"/>
      <w:r w:rsidRPr="00E0536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0536C">
        <w:rPr>
          <w:rFonts w:ascii="Times New Roman" w:eastAsia="Times New Roman" w:hAnsi="Times New Roman" w:cs="Times New Roman"/>
          <w:sz w:val="24"/>
          <w:szCs w:val="24"/>
        </w:rPr>
        <w:t xml:space="preserve"> Budapest XI. kerület, XI-XXII. </w:t>
      </w:r>
      <w:proofErr w:type="gramStart"/>
      <w:r w:rsidRPr="00E0536C">
        <w:rPr>
          <w:rFonts w:ascii="Times New Roman" w:eastAsia="Times New Roman" w:hAnsi="Times New Roman" w:cs="Times New Roman"/>
          <w:sz w:val="24"/>
          <w:szCs w:val="24"/>
        </w:rPr>
        <w:t>kerület</w:t>
      </w:r>
      <w:proofErr w:type="gramEnd"/>
      <w:r w:rsidRPr="00E0536C">
        <w:rPr>
          <w:rFonts w:ascii="Times New Roman" w:eastAsia="Times New Roman" w:hAnsi="Times New Roman" w:cs="Times New Roman"/>
          <w:sz w:val="24"/>
          <w:szCs w:val="24"/>
        </w:rPr>
        <w:t xml:space="preserve"> határa – vasútvonal – Sáfrány utca – Kondorosi út – Solt utca – Andor utca – Egér út – Balato</w:t>
      </w:r>
      <w:r w:rsidR="000B52D8">
        <w:rPr>
          <w:rFonts w:ascii="Times New Roman" w:eastAsia="Times New Roman" w:hAnsi="Times New Roman" w:cs="Times New Roman"/>
          <w:sz w:val="24"/>
          <w:szCs w:val="24"/>
        </w:rPr>
        <w:t xml:space="preserve">ni út – </w:t>
      </w:r>
      <w:proofErr w:type="spellStart"/>
      <w:r w:rsidR="000B52D8">
        <w:rPr>
          <w:rFonts w:ascii="Times New Roman" w:eastAsia="Times New Roman" w:hAnsi="Times New Roman" w:cs="Times New Roman"/>
          <w:sz w:val="24"/>
          <w:szCs w:val="24"/>
        </w:rPr>
        <w:t>villamos</w:t>
      </w:r>
      <w:r w:rsidRPr="00E0536C">
        <w:rPr>
          <w:rFonts w:ascii="Times New Roman" w:eastAsia="Times New Roman" w:hAnsi="Times New Roman" w:cs="Times New Roman"/>
          <w:sz w:val="24"/>
          <w:szCs w:val="24"/>
        </w:rPr>
        <w:t>vonal</w:t>
      </w:r>
      <w:proofErr w:type="spellEnd"/>
      <w:r w:rsidRPr="00E0536C">
        <w:rPr>
          <w:rFonts w:ascii="Times New Roman" w:eastAsia="Times New Roman" w:hAnsi="Times New Roman" w:cs="Times New Roman"/>
          <w:sz w:val="24"/>
          <w:szCs w:val="24"/>
        </w:rPr>
        <w:t xml:space="preserve"> által határolt terület kerületi építési szabályzatáról szóló önkormányzati rendelet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tabs>
          <w:tab w:val="left" w:pos="4595"/>
        </w:tabs>
        <w:spacing w:after="200"/>
        <w:ind w:left="851" w:hanging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hatálya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 tartozó területre terjed ki.”</w:t>
      </w:r>
    </w:p>
    <w:p w:rsidR="005F50C8" w:rsidRDefault="005F50C8" w:rsidP="003B754C">
      <w:pPr>
        <w:tabs>
          <w:tab w:val="center" w:pos="4595"/>
        </w:tabs>
        <w:spacing w:after="200" w:line="240" w:lineRule="auto"/>
        <w:ind w:left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§ </w:t>
      </w:r>
      <w:r>
        <w:rPr>
          <w:rFonts w:ascii="Times New Roman" w:eastAsia="Times New Roman" w:hAnsi="Times New Roman" w:cs="Times New Roman"/>
          <w:sz w:val="24"/>
          <w:szCs w:val="24"/>
        </w:rPr>
        <w:t>A járművek elhelyezésének helyi szabályairól, a parkolás biztosításának módjáról, a parkolóhely-építési kötelezettségről és annak megváltásáról szóló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35/2004./VI.22./ XI.ÖK rendelet 3. § (2) bekezdése helyébe a következő rendelkezés lép:</w:t>
      </w:r>
    </w:p>
    <w:p w:rsidR="005F50C8" w:rsidRDefault="005F50C8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„(2) A rendelet hatálya nem terjed ki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Budapest XI. kerület, Lágymányosi öböl és környezete kerületi építési szabályzatáról szóló önkormányzati rendelet,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Budapest XI. kerület, Budaörsi út - Gazdagréti út - Rétköz utca - Háromszék utca - Sasadi út által határolt terület kerületi építési szabályzatáról szóló önkormányzati rendelet,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Budapest XI. kerület, Ferencváros-Kelenföld vasútvonal - Budaörsi út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Kőérberki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út - Egér út - Andor utca - Galvani út - Duna folyam által határolt terület kerületi építési szabályzatáról szóló önkormányzati rendelet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Budapest XI. kerület, Galvani út - Andor utca - Solt utca - Kondorosi út - Sáfrány utca - vasútvonal - kerület határ - Duna folyam által határolt terület kerületi építési szabályzatáról szóló önkormányzati rendelet,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Budapest XI. kerület,Budaörsi út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Kőérberki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út - Repülőtéri út - Budaörs határa által határolt terület kerületi építési szabályzatáról szóló önkormányzati rendelet,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Budapest XI. kerület, Gazdagréti út - Rétköz u. - Háromszék u. - Sasadi út - Budaörsi út - kerület határ által határolt terület által határolt terület kerületi építési szabályzatáról szóló önkormányzati rendelet,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Budapest XI. kerület, Pázmány Péter sétány - Magyar tudósok körútja - Magyar Nobel-díjasok útja - (4082/2) hrsz.-ú közterület által határolt terület kerületi építési szabályzatáról szóló önkormányzati rendelet,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Budapest XI. kerület, Budaörsi út - Budaörs határa - XII. kerület határa - Gazdagréti út - Rétköz utca - Gazdagréti út - Budaörsi út - M1/M7 autópálya bevezető szakasza által határolt terület kerületi építési szabályzatáról szóló önkormányzati rendelet,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54C">
        <w:rPr>
          <w:rFonts w:ascii="Times New Roman" w:eastAsia="Times New Roman" w:hAnsi="Times New Roman" w:cs="Times New Roman"/>
          <w:i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Budapest XI. kerület, Diószegi út - Daróczi utca - Bocskai út - Karolina út által határolt terület kerületi építési szabályzatáról szóló önkormányzati rendelet,</w:t>
      </w:r>
    </w:p>
    <w:p w:rsidR="005F50C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54C">
        <w:rPr>
          <w:rFonts w:ascii="Times New Roman" w:eastAsia="Times New Roman" w:hAnsi="Times New Roman" w:cs="Times New Roman"/>
          <w:i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Budapest XI. kerület, Pázmány Péter sétány - (4107/53) hrsz.-ú közterület - Irinyi József utca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Bogdánfy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utca - Neumann János utca által határolt terület kerületi építési szabályzatáról szóló önkormányzati rendelet,</w:t>
      </w:r>
    </w:p>
    <w:p w:rsidR="005F50C8" w:rsidRPr="00526898" w:rsidRDefault="005F50C8" w:rsidP="003B754C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54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k)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Budapest XI. kerület, Duna folyam - I-XI.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kerület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határa - Budaörsi út - Ferencváros-Kelenföld vasútvonal által határolt terület kerületi építési szabályzatáról szóló önkormányzati rendelet </w:t>
      </w:r>
      <w:r w:rsidRPr="00526898">
        <w:rPr>
          <w:rFonts w:ascii="Times New Roman" w:eastAsia="Times New Roman" w:hAnsi="Times New Roman" w:cs="Times New Roman"/>
          <w:sz w:val="24"/>
          <w:szCs w:val="24"/>
        </w:rPr>
        <w:t>és</w:t>
      </w:r>
    </w:p>
    <w:p w:rsidR="005F50C8" w:rsidRPr="00526898" w:rsidRDefault="005F50C8" w:rsidP="00526898">
      <w:pPr>
        <w:widowControl w:val="0"/>
        <w:pBdr>
          <w:left w:val="none" w:sz="0" w:space="11" w:color="auto"/>
          <w:right w:val="none" w:sz="0" w:space="11" w:color="auto"/>
        </w:pBdr>
        <w:spacing w:after="2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898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proofErr w:type="gramEnd"/>
      <w:r w:rsidRPr="0052689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26898">
        <w:rPr>
          <w:rFonts w:ascii="Times New Roman" w:eastAsia="Times New Roman" w:hAnsi="Times New Roman" w:cs="Times New Roman"/>
          <w:sz w:val="24"/>
          <w:szCs w:val="24"/>
        </w:rPr>
        <w:t xml:space="preserve"> Budapest XI. kerület, XI-XXII. </w:t>
      </w:r>
      <w:proofErr w:type="gramStart"/>
      <w:r w:rsidRPr="00526898">
        <w:rPr>
          <w:rFonts w:ascii="Times New Roman" w:eastAsia="Times New Roman" w:hAnsi="Times New Roman" w:cs="Times New Roman"/>
          <w:sz w:val="24"/>
          <w:szCs w:val="24"/>
        </w:rPr>
        <w:t>kerület</w:t>
      </w:r>
      <w:proofErr w:type="gramEnd"/>
      <w:r w:rsidRPr="00526898">
        <w:rPr>
          <w:rFonts w:ascii="Times New Roman" w:eastAsia="Times New Roman" w:hAnsi="Times New Roman" w:cs="Times New Roman"/>
          <w:sz w:val="24"/>
          <w:szCs w:val="24"/>
        </w:rPr>
        <w:t xml:space="preserve"> határa – vasútvonal – Sáfrány utca – Kondorosi út – Solt utca – Andor utca – E</w:t>
      </w:r>
      <w:r w:rsidR="000B52D8">
        <w:rPr>
          <w:rFonts w:ascii="Times New Roman" w:eastAsia="Times New Roman" w:hAnsi="Times New Roman" w:cs="Times New Roman"/>
          <w:sz w:val="24"/>
          <w:szCs w:val="24"/>
        </w:rPr>
        <w:t xml:space="preserve">gér út – Balatoni út – </w:t>
      </w:r>
      <w:proofErr w:type="spellStart"/>
      <w:r w:rsidR="000B52D8">
        <w:rPr>
          <w:rFonts w:ascii="Times New Roman" w:eastAsia="Times New Roman" w:hAnsi="Times New Roman" w:cs="Times New Roman"/>
          <w:sz w:val="24"/>
          <w:szCs w:val="24"/>
        </w:rPr>
        <w:t>villamos</w:t>
      </w:r>
      <w:r w:rsidRPr="00526898">
        <w:rPr>
          <w:rFonts w:ascii="Times New Roman" w:eastAsia="Times New Roman" w:hAnsi="Times New Roman" w:cs="Times New Roman"/>
          <w:sz w:val="24"/>
          <w:szCs w:val="24"/>
        </w:rPr>
        <w:t>vonal</w:t>
      </w:r>
      <w:proofErr w:type="spellEnd"/>
      <w:r w:rsidRPr="00526898">
        <w:rPr>
          <w:rFonts w:ascii="Times New Roman" w:eastAsia="Times New Roman" w:hAnsi="Times New Roman" w:cs="Times New Roman"/>
          <w:sz w:val="24"/>
          <w:szCs w:val="24"/>
        </w:rPr>
        <w:t xml:space="preserve"> által határolt terület kerületi építési szabályzatáról szóló önkormányzati rendelet</w:t>
      </w:r>
    </w:p>
    <w:p w:rsidR="005F50C8" w:rsidRPr="00526898" w:rsidRDefault="005F50C8" w:rsidP="00356A73">
      <w:pPr>
        <w:widowControl w:val="0"/>
        <w:pBdr>
          <w:left w:val="none" w:sz="0" w:space="11" w:color="auto"/>
          <w:right w:val="none" w:sz="0" w:space="11" w:color="auto"/>
        </w:pBdr>
        <w:tabs>
          <w:tab w:val="left" w:pos="3930"/>
        </w:tabs>
        <w:spacing w:after="24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898">
        <w:rPr>
          <w:rFonts w:ascii="Times New Roman" w:eastAsia="Times New Roman" w:hAnsi="Times New Roman" w:cs="Times New Roman"/>
          <w:sz w:val="24"/>
          <w:szCs w:val="24"/>
        </w:rPr>
        <w:t>hatálya</w:t>
      </w:r>
      <w:proofErr w:type="gramEnd"/>
      <w:r w:rsidRPr="00526898">
        <w:rPr>
          <w:rFonts w:ascii="Times New Roman" w:eastAsia="Times New Roman" w:hAnsi="Times New Roman" w:cs="Times New Roman"/>
          <w:sz w:val="24"/>
          <w:szCs w:val="24"/>
        </w:rPr>
        <w:t xml:space="preserve"> alá tartozó területre.”</w:t>
      </w:r>
      <w:r w:rsidR="00526898" w:rsidRPr="005268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50C8" w:rsidRDefault="005F50C8" w:rsidP="00356A73">
      <w:pPr>
        <w:tabs>
          <w:tab w:val="center" w:pos="4595"/>
        </w:tabs>
        <w:spacing w:after="132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§  </w:t>
      </w:r>
      <w:r>
        <w:rPr>
          <w:rFonts w:ascii="Times New Roman" w:eastAsia="Times New Roman" w:hAnsi="Times New Roman" w:cs="Times New Roman"/>
          <w:sz w:val="24"/>
          <w:szCs w:val="24"/>
        </w:rPr>
        <w:t>Ez a rendelet a ki</w:t>
      </w:r>
      <w:r w:rsidR="00930FFB">
        <w:rPr>
          <w:rFonts w:ascii="Times New Roman" w:eastAsia="Times New Roman" w:hAnsi="Times New Roman" w:cs="Times New Roman"/>
          <w:sz w:val="24"/>
          <w:szCs w:val="24"/>
        </w:rPr>
        <w:t xml:space="preserve">hirdetését követő </w:t>
      </w:r>
      <w:r>
        <w:rPr>
          <w:rFonts w:ascii="Times New Roman" w:eastAsia="Times New Roman" w:hAnsi="Times New Roman" w:cs="Times New Roman"/>
          <w:sz w:val="24"/>
          <w:szCs w:val="24"/>
        </w:rPr>
        <w:t>30. napon lép hatályba.</w:t>
      </w:r>
    </w:p>
    <w:tbl>
      <w:tblPr>
        <w:tblStyle w:val="a0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A532B" w:rsidTr="00356A7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32B" w:rsidRDefault="002646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László Imre</w:t>
            </w:r>
          </w:p>
          <w:p w:rsidR="00BA532B" w:rsidRDefault="002646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polgármester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32B" w:rsidRDefault="002646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Vargáné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Kremzner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Zsuzsanna</w:t>
            </w:r>
          </w:p>
          <w:p w:rsidR="00BA532B" w:rsidRDefault="002646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</w:tbl>
    <w:p w:rsidR="00BA532B" w:rsidRDefault="0026465A" w:rsidP="00356A7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BA532B" w:rsidSect="00264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D8" w:rsidRDefault="000B52D8" w:rsidP="0026465A">
      <w:pPr>
        <w:spacing w:line="240" w:lineRule="auto"/>
      </w:pPr>
      <w:r>
        <w:separator/>
      </w:r>
    </w:p>
  </w:endnote>
  <w:endnote w:type="continuationSeparator" w:id="0">
    <w:p w:rsidR="000B52D8" w:rsidRDefault="000B52D8" w:rsidP="00264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8" w:rsidRDefault="000B52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8" w:rsidRDefault="000B52D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8" w:rsidRDefault="000B52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D8" w:rsidRDefault="000B52D8" w:rsidP="0026465A">
      <w:pPr>
        <w:spacing w:line="240" w:lineRule="auto"/>
      </w:pPr>
      <w:r>
        <w:separator/>
      </w:r>
    </w:p>
  </w:footnote>
  <w:footnote w:type="continuationSeparator" w:id="0">
    <w:p w:rsidR="000B52D8" w:rsidRDefault="000B52D8" w:rsidP="00264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8" w:rsidRDefault="000B52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980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52D8" w:rsidRPr="0026465A" w:rsidRDefault="000B52D8">
        <w:pPr>
          <w:pStyle w:val="lfej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46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46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46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735A" w:rsidRPr="0045735A">
          <w:rPr>
            <w:rFonts w:ascii="Times New Roman" w:hAnsi="Times New Roman" w:cs="Times New Roman"/>
            <w:noProof/>
            <w:sz w:val="24"/>
            <w:szCs w:val="24"/>
            <w:lang w:val="hu-HU"/>
          </w:rPr>
          <w:t>3</w:t>
        </w:r>
        <w:r w:rsidRPr="002646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52D8" w:rsidRDefault="000B52D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8" w:rsidRDefault="000B52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307"/>
    <w:multiLevelType w:val="hybridMultilevel"/>
    <w:tmpl w:val="239C60D6"/>
    <w:lvl w:ilvl="0" w:tplc="7204A0CC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60" w:hanging="360"/>
      </w:pPr>
    </w:lvl>
    <w:lvl w:ilvl="2" w:tplc="040E001B" w:tentative="1">
      <w:start w:val="1"/>
      <w:numFmt w:val="lowerRoman"/>
      <w:lvlText w:val="%3."/>
      <w:lvlJc w:val="right"/>
      <w:pPr>
        <w:ind w:left="1880" w:hanging="180"/>
      </w:pPr>
    </w:lvl>
    <w:lvl w:ilvl="3" w:tplc="040E000F" w:tentative="1">
      <w:start w:val="1"/>
      <w:numFmt w:val="decimal"/>
      <w:lvlText w:val="%4."/>
      <w:lvlJc w:val="left"/>
      <w:pPr>
        <w:ind w:left="2600" w:hanging="360"/>
      </w:pPr>
    </w:lvl>
    <w:lvl w:ilvl="4" w:tplc="040E0019" w:tentative="1">
      <w:start w:val="1"/>
      <w:numFmt w:val="lowerLetter"/>
      <w:lvlText w:val="%5."/>
      <w:lvlJc w:val="left"/>
      <w:pPr>
        <w:ind w:left="3320" w:hanging="360"/>
      </w:pPr>
    </w:lvl>
    <w:lvl w:ilvl="5" w:tplc="040E001B" w:tentative="1">
      <w:start w:val="1"/>
      <w:numFmt w:val="lowerRoman"/>
      <w:lvlText w:val="%6."/>
      <w:lvlJc w:val="right"/>
      <w:pPr>
        <w:ind w:left="4040" w:hanging="180"/>
      </w:pPr>
    </w:lvl>
    <w:lvl w:ilvl="6" w:tplc="040E000F" w:tentative="1">
      <w:start w:val="1"/>
      <w:numFmt w:val="decimal"/>
      <w:lvlText w:val="%7."/>
      <w:lvlJc w:val="left"/>
      <w:pPr>
        <w:ind w:left="4760" w:hanging="360"/>
      </w:pPr>
    </w:lvl>
    <w:lvl w:ilvl="7" w:tplc="040E0019" w:tentative="1">
      <w:start w:val="1"/>
      <w:numFmt w:val="lowerLetter"/>
      <w:lvlText w:val="%8."/>
      <w:lvlJc w:val="left"/>
      <w:pPr>
        <w:ind w:left="5480" w:hanging="360"/>
      </w:pPr>
    </w:lvl>
    <w:lvl w:ilvl="8" w:tplc="040E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532B"/>
    <w:rsid w:val="0007027C"/>
    <w:rsid w:val="000B52D8"/>
    <w:rsid w:val="00245EE3"/>
    <w:rsid w:val="0026465A"/>
    <w:rsid w:val="00356A73"/>
    <w:rsid w:val="00396019"/>
    <w:rsid w:val="003B754C"/>
    <w:rsid w:val="004114F6"/>
    <w:rsid w:val="0045735A"/>
    <w:rsid w:val="004A1D96"/>
    <w:rsid w:val="00526898"/>
    <w:rsid w:val="005F50C8"/>
    <w:rsid w:val="0070783E"/>
    <w:rsid w:val="00884422"/>
    <w:rsid w:val="00930FFB"/>
    <w:rsid w:val="00986963"/>
    <w:rsid w:val="00AB47A0"/>
    <w:rsid w:val="00BA532B"/>
    <w:rsid w:val="00C972D3"/>
    <w:rsid w:val="00E0536C"/>
    <w:rsid w:val="00F20743"/>
    <w:rsid w:val="00F5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6465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465A"/>
  </w:style>
  <w:style w:type="paragraph" w:styleId="llb">
    <w:name w:val="footer"/>
    <w:basedOn w:val="Norml"/>
    <w:link w:val="llbChar"/>
    <w:uiPriority w:val="99"/>
    <w:unhideWhenUsed/>
    <w:rsid w:val="0026465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465A"/>
  </w:style>
  <w:style w:type="paragraph" w:styleId="Listaszerbekezds">
    <w:name w:val="List Paragraph"/>
    <w:basedOn w:val="Norml"/>
    <w:uiPriority w:val="34"/>
    <w:qFormat/>
    <w:rsid w:val="00245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6465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465A"/>
  </w:style>
  <w:style w:type="paragraph" w:styleId="llb">
    <w:name w:val="footer"/>
    <w:basedOn w:val="Norml"/>
    <w:link w:val="llbChar"/>
    <w:uiPriority w:val="99"/>
    <w:unhideWhenUsed/>
    <w:rsid w:val="0026465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465A"/>
  </w:style>
  <w:style w:type="paragraph" w:styleId="Listaszerbekezds">
    <w:name w:val="List Paragraph"/>
    <w:basedOn w:val="Norml"/>
    <w:uiPriority w:val="34"/>
    <w:qFormat/>
    <w:rsid w:val="0024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KovacsE2</cp:lastModifiedBy>
  <cp:revision>26</cp:revision>
  <dcterms:created xsi:type="dcterms:W3CDTF">2021-01-25T13:57:00Z</dcterms:created>
  <dcterms:modified xsi:type="dcterms:W3CDTF">2021-01-28T12:58:00Z</dcterms:modified>
</cp:coreProperties>
</file>