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089258" w14:textId="77777777" w:rsidR="00DA61BD" w:rsidRPr="00940EED" w:rsidRDefault="00DA61BD" w:rsidP="00DA61BD">
      <w:pPr>
        <w:pStyle w:val="Szvegtrzs"/>
        <w:spacing w:after="0"/>
        <w:jc w:val="center"/>
        <w:rPr>
          <w:b/>
          <w:bCs/>
        </w:rPr>
      </w:pPr>
      <w:r w:rsidRPr="00940EED">
        <w:rPr>
          <w:b/>
          <w:bCs/>
        </w:rPr>
        <w:t>Indokolás</w:t>
      </w:r>
    </w:p>
    <w:p w14:paraId="54E2F17D" w14:textId="77777777" w:rsidR="00DA61BD" w:rsidRDefault="00DA61BD" w:rsidP="00DA61BD">
      <w:pPr>
        <w:pStyle w:val="Szvegtrzs"/>
        <w:spacing w:after="0" w:line="240" w:lineRule="auto"/>
        <w:jc w:val="center"/>
        <w:rPr>
          <w:b/>
          <w:bCs/>
        </w:rPr>
      </w:pPr>
      <w:r>
        <w:rPr>
          <w:b/>
          <w:bCs/>
        </w:rPr>
        <w:t xml:space="preserve">Budapest Főváros XI. Kerület Újbuda Önkormányzata Képviselő-testületének </w:t>
      </w:r>
    </w:p>
    <w:p w14:paraId="2157391B" w14:textId="77777777" w:rsidR="00DA61BD" w:rsidRDefault="00DA61BD" w:rsidP="00DA61BD">
      <w:pPr>
        <w:pStyle w:val="Szvegtrzs"/>
        <w:spacing w:after="0" w:line="240" w:lineRule="auto"/>
        <w:jc w:val="center"/>
        <w:rPr>
          <w:b/>
          <w:bCs/>
        </w:rPr>
      </w:pPr>
      <w:r>
        <w:rPr>
          <w:b/>
          <w:bCs/>
        </w:rPr>
        <w:t>Újbuda Önkormányzata tulajdonában lévő lakások és nem lakás céljára szolgáló helyiségek bérbeadásáról szóló</w:t>
      </w:r>
    </w:p>
    <w:p w14:paraId="2A367B7B" w14:textId="3B49877D" w:rsidR="00DA61BD" w:rsidRPr="00940EED" w:rsidRDefault="00DA61BD" w:rsidP="00DA61BD">
      <w:pPr>
        <w:pStyle w:val="Szvegtrzs"/>
        <w:spacing w:after="0" w:line="240" w:lineRule="auto"/>
        <w:jc w:val="center"/>
        <w:rPr>
          <w:b/>
          <w:bCs/>
        </w:rPr>
      </w:pPr>
      <w:r>
        <w:rPr>
          <w:b/>
          <w:bCs/>
        </w:rPr>
        <w:t>36/2025. (XII. 18.) önkormányzati rendeletéhez</w:t>
      </w:r>
    </w:p>
    <w:p w14:paraId="072BD9C8" w14:textId="77777777" w:rsidR="00DA61BD" w:rsidRDefault="00DA61BD" w:rsidP="00DA61BD">
      <w:pPr>
        <w:pStyle w:val="Szvegtrzs"/>
        <w:spacing w:after="159" w:line="240" w:lineRule="auto"/>
        <w:ind w:left="159" w:right="159"/>
        <w:jc w:val="center"/>
      </w:pPr>
    </w:p>
    <w:p w14:paraId="384E74B2" w14:textId="77777777" w:rsidR="00DA61BD" w:rsidRPr="00940EED" w:rsidRDefault="00DA61BD" w:rsidP="00DA61BD">
      <w:pPr>
        <w:pStyle w:val="Szvegtrzs"/>
        <w:spacing w:after="159" w:line="240" w:lineRule="auto"/>
        <w:ind w:left="159" w:right="159"/>
        <w:jc w:val="center"/>
        <w:rPr>
          <w:b/>
          <w:bCs/>
        </w:rPr>
      </w:pPr>
      <w:r w:rsidRPr="00940EED">
        <w:rPr>
          <w:b/>
          <w:bCs/>
        </w:rPr>
        <w:t>Általános indokolás</w:t>
      </w:r>
    </w:p>
    <w:p w14:paraId="34DF9C7E" w14:textId="77777777" w:rsidR="00DA61BD" w:rsidRDefault="00DA61BD" w:rsidP="00DA61BD">
      <w:pPr>
        <w:pStyle w:val="Szvegtrzs"/>
        <w:spacing w:after="160" w:line="240" w:lineRule="auto"/>
        <w:jc w:val="both"/>
      </w:pPr>
      <w:r>
        <w:t>A rendelet megalkotásának szükségességét több, egymással összefüggő szakmai és társadalmi tényező indokolja. Az Önkormányzat tulajdonában álló lakás- és nem lakás céljára szolgáló helyiségek hatékony, átlátható és jogszerű működtetése kiemelt közérdek, amelyre a hatályos szabályozás jelenlegi formájában már nem ad kellően korszerű keretet.</w:t>
      </w:r>
    </w:p>
    <w:p w14:paraId="018360B9" w14:textId="77777777" w:rsidR="00DA61BD" w:rsidRDefault="00DA61BD" w:rsidP="00DA61BD">
      <w:pPr>
        <w:pStyle w:val="Szvegtrzs"/>
        <w:spacing w:after="160" w:line="240" w:lineRule="auto"/>
        <w:jc w:val="both"/>
      </w:pPr>
      <w:r>
        <w:t>Az önkormányzati lakás- és helyiséggazdálkodás elsődleges célja a meglévő önkormányzati vagyon hosszútávú, fenntartható és közérdeket szolgáló hasznosítása. Az Önkormányzat szélesebb körben többféle társadalmi csoportnak szeretne segíteni. Ezt a célt szolgálja a „szociális alapon” történő bérbeadási eljárás átalakítása, mely a jelenlegi formában nem szolgálja hatékonyan a rászorulók lakhatási problémáinak kezelését, megoldását. Új elemként kerül bevezetésre a Névjegyzék helyett a „szociális” pályázati rendszerre történő áttérés, mely várhatóan gyorsabb, átláthatóbb döntéshozatalt eredményez, miközben továbbra is fenntartható a szociális társadalmi réteg segítése. Továbbá a lakásállomány minőségének és használhatóságának javítása érdekében szükségessé vált olyan új eszközök beemelése, amelyek korábban nem szerepeltek a szabályozásban. A civil szervezetekkel kötött együttműködési megállapodások és a felújítást vállaló partnerek számára biztosítható bérlőkijelölési és bérlőkiválasztási jog lehetőséget teremt olyan lakások bevonására is, amelyek jelenleg lakhatásra alkalmatlanok, és melyek felújítására önkormányzati forrás nem áll rendelkezésre.</w:t>
      </w:r>
    </w:p>
    <w:p w14:paraId="28224F9B" w14:textId="77777777" w:rsidR="00DA61BD" w:rsidRDefault="00DA61BD" w:rsidP="00DA61BD">
      <w:pPr>
        <w:pStyle w:val="Szvegtrzs"/>
        <w:spacing w:after="160" w:line="240" w:lineRule="auto"/>
        <w:jc w:val="both"/>
      </w:pPr>
      <w:r>
        <w:t>A lakás- és helyiségbérleti jogviszonyok területén is szükségessé vált a rendelet megújítása, a gyakorlatban felmerült problémák megoldására, – tulajdonosi hozzájárulások feltételeinek szigorítása, a bérlőtársi és jogutódlási szabályok pontosítása, a közjegyzői okirat kötelezővé tétele és az egyszerűsített polgári per alkalmazása – mely a jogbiztonságot és a bérbeadó érdekeinek védelmét szolgálja. Az új, gyorsított peres eljárás bevezetése különösen fontos eszköz a szerződésszegéssel érintett bérlemények mielőbbi felszabadítása érdekében, ezáltal a hasznosítás még hatékonyabbá tud válni.</w:t>
      </w:r>
    </w:p>
    <w:p w14:paraId="4754C234" w14:textId="77777777" w:rsidR="00DA61BD" w:rsidRDefault="00DA61BD" w:rsidP="00DA61BD">
      <w:pPr>
        <w:pStyle w:val="Szvegtrzs"/>
        <w:spacing w:after="160" w:line="240" w:lineRule="auto"/>
        <w:jc w:val="both"/>
      </w:pPr>
      <w:r>
        <w:t>A Bartók-negyed területén található önkormányzati helyiségek tekintetében a 2022-ben elfogadott stratégia világos elvárásokat fogalmaz meg a terület kulturális és közösségi szerepének megerősítésére. A helyiségek funkcióalapú besorolása, az értékbecslésen alapuló minimum bérleti díj meghatározása, valamint az árbevétel-arányos bérleti díjazás alkalmazása biztosítja, hogy a hasznosítás illeszkedjen a városrész fejlesztési céljaihoz, ugyanakkor kiszámítható pénzügyi keretek között működjön.</w:t>
      </w:r>
    </w:p>
    <w:p w14:paraId="19AB2284" w14:textId="77777777" w:rsidR="00DA61BD" w:rsidRDefault="00DA61BD" w:rsidP="00DA61BD">
      <w:pPr>
        <w:pStyle w:val="Szvegtrzs"/>
        <w:spacing w:after="160" w:line="240" w:lineRule="auto"/>
        <w:jc w:val="both"/>
      </w:pPr>
      <w:r>
        <w:t>Összességben a jelenleg hatályos rendelet már nem képes hatékonyan támogatni az önkormányzati lakás- és helyiséggazdálkodás céljait.</w:t>
      </w:r>
    </w:p>
    <w:p w14:paraId="5557E709" w14:textId="77777777" w:rsidR="00DA61BD" w:rsidRPr="000974EB" w:rsidRDefault="00DA61BD" w:rsidP="00DA61BD">
      <w:pPr>
        <w:pStyle w:val="Szvegtrzs"/>
        <w:spacing w:before="476" w:after="159" w:line="240" w:lineRule="auto"/>
        <w:ind w:left="159" w:right="159"/>
        <w:jc w:val="center"/>
        <w:rPr>
          <w:b/>
          <w:bCs/>
        </w:rPr>
      </w:pPr>
      <w:r w:rsidRPr="000974EB">
        <w:rPr>
          <w:b/>
          <w:bCs/>
        </w:rPr>
        <w:t>Részletes indokolás</w:t>
      </w:r>
    </w:p>
    <w:p w14:paraId="2847303E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Az 1. §-hoz és a 2. §-hoz </w:t>
      </w:r>
    </w:p>
    <w:p w14:paraId="4E128A8C" w14:textId="77777777" w:rsidR="00DA61BD" w:rsidRDefault="00DA61BD" w:rsidP="00DA61BD">
      <w:pPr>
        <w:pStyle w:val="Szvegtrzs"/>
        <w:spacing w:after="160" w:line="240" w:lineRule="auto"/>
        <w:jc w:val="both"/>
      </w:pPr>
      <w:r>
        <w:t xml:space="preserve">A rendelkezés meghatározza a rendelet alkalmazási körét: a rendelet hatálya kiterjed az Önkormányzat tulajdonában álló valamennyi lakásra és nem lakás céljára szolgáló helyiségre, függetlenül azok elhelyezkedésétől. Ennek indoka az egységes szabályozás biztosítása: az </w:t>
      </w:r>
      <w:r>
        <w:lastRenderedPageBreak/>
        <w:t>önkormányzati tulajdon kezelésének elvei és eljárásai településrésztől, épülettől vagy telephelytől függetlenül azonosnak kell, hogy legyenek, ezzel növelve a jogbiztonságot és a kezelési gyakorlat átláthatóságát.</w:t>
      </w:r>
    </w:p>
    <w:p w14:paraId="3859F666" w14:textId="77777777" w:rsidR="00DA61BD" w:rsidRDefault="00DA61BD" w:rsidP="00DA61BD">
      <w:pPr>
        <w:pStyle w:val="Szvegtrzs"/>
        <w:spacing w:after="160" w:line="240" w:lineRule="auto"/>
        <w:jc w:val="both"/>
      </w:pPr>
      <w:r>
        <w:t>A 2. § meghatározza, hogy az önkormányzati lakások és helyiségek bérbeadásával kapcsolatos döntési jogkört alapvetően a Képviselő-testületet illeti meg, ugyanakkor egyes ügyekben ezt a jogot a szakmailag illetékes bizottságokra és a Polgármesterre ruházhatja. A szabály célja, hogy a bérbeadással kapcsolatos feladatok hatékonyan, gyorsan és szakszerűen legyenek ellátva, miközben a stratégiai ellenőrzés a Testületnél marad.</w:t>
      </w:r>
    </w:p>
    <w:p w14:paraId="6E4E8337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3. §-hoz </w:t>
      </w:r>
    </w:p>
    <w:p w14:paraId="550CBEDA" w14:textId="77777777" w:rsidR="00DA61BD" w:rsidRDefault="00DA61BD" w:rsidP="00DA61BD">
      <w:pPr>
        <w:pStyle w:val="Szvegtrzs"/>
        <w:spacing w:after="160" w:line="240" w:lineRule="auto"/>
        <w:jc w:val="both"/>
      </w:pPr>
      <w:r>
        <w:t>A rendelet alkalmazása során minden érintett – a bérlők, bérbeadó, valamint a döntéshozók – azonos módon értelmezze a rendeletben használt alapfogalmakat. A rendelkezés részletesen meghatározza többek között a bérleti díj, felújítás, karbantartás, fenntartás, üzemeltetés, jövedelem és lakbérköltség fogalmát. Ezek a meghatározások azért szükségesek, mert a lakás- és helyiségbérlet szabályozása összetett, a bennük szereplő fogalmak pontos tartalma egyértelművé váljon. A definíciók rögzítése megelőzi a jogértelmezési vitákat, biztosítja az átlátható, egységes jogalkalmazást, valamint hozzájárul a bérbeadással kapcsolatos döntések jogszerű és kiszámítható meghozatalához.</w:t>
      </w:r>
    </w:p>
    <w:p w14:paraId="6502A45C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4. §-hoz </w:t>
      </w:r>
    </w:p>
    <w:p w14:paraId="31683E3B" w14:textId="77777777" w:rsidR="00DA61BD" w:rsidRDefault="00DA61BD" w:rsidP="00DA61BD">
      <w:pPr>
        <w:pStyle w:val="Szvegtrzs"/>
        <w:spacing w:after="160" w:line="240" w:lineRule="auto"/>
        <w:jc w:val="both"/>
      </w:pPr>
      <w:r>
        <w:t>A 4. § meghatározza az önkormányzati lakások bérbeadásának általános feltételeit és a lehetséges bérbeadási jogcímeket. A szabályozás célja, hogy a lakásgazdálkodás átlátható, egységes és ellenőrizhető keretek között működjön, és a bérbeadás kizárólag olyan jogcímen és olyan feltételekkel történjen, amelyek a rendeletben rögzített elvekkel összhangban állnak.</w:t>
      </w:r>
    </w:p>
    <w:p w14:paraId="07282AFD" w14:textId="77777777" w:rsidR="00DA61BD" w:rsidRDefault="00DA61BD" w:rsidP="00DA61BD">
      <w:pPr>
        <w:pStyle w:val="Szvegtrzs"/>
        <w:spacing w:after="160" w:line="240" w:lineRule="auto"/>
        <w:jc w:val="both"/>
      </w:pPr>
      <w:r>
        <w:t>A rendelkezések összességében a felelős lakásgazdálkodást, az önkormányzati vagyon védelmét szolgálják, miközben világos kereteket adnak mind a bérlők, mind a döntéshozók számára.</w:t>
      </w:r>
    </w:p>
    <w:p w14:paraId="2B05DF50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Az 5. §-hoz </w:t>
      </w:r>
    </w:p>
    <w:p w14:paraId="1B54CAC5" w14:textId="77777777" w:rsidR="00DA61BD" w:rsidRDefault="00DA61BD" w:rsidP="00DA61BD">
      <w:pPr>
        <w:pStyle w:val="Szvegtrzs"/>
        <w:spacing w:after="160" w:line="240" w:lineRule="auto"/>
        <w:jc w:val="both"/>
      </w:pPr>
      <w:r>
        <w:t>Az 5. § a pályázati úton történő bérbeadás szabályait rögzíti annak érdekében, hogy az önkormányzati lakások elosztása átlátható, versenysemleges és ellenőrizhető legyen. A pályázati rendszer alkalmazása biztosítja, hogy a lakások különböző bérleti formákban – szociális, piaci vagy költségelvű – a rendeletben meghatározott célcsoportokhoz jussanak el. Az ellenőrizhető és felelős lakáselosztás rendszerét szolgálja, miközben hozzájárul a lakásállomány fenntartható kezeléséhez.</w:t>
      </w:r>
    </w:p>
    <w:p w14:paraId="1EF39EB7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6. §-hoz </w:t>
      </w:r>
    </w:p>
    <w:p w14:paraId="031CA056" w14:textId="77777777" w:rsidR="00DA61BD" w:rsidRDefault="00DA61BD" w:rsidP="00DA61BD">
      <w:pPr>
        <w:pStyle w:val="Szvegtrzs"/>
        <w:spacing w:before="159" w:after="159" w:line="240" w:lineRule="auto"/>
        <w:jc w:val="both"/>
      </w:pPr>
      <w:r>
        <w:t>A rendelkezés célja annak biztosítása, hogy a pályázati rendszeren keresztül az önkormányzati lakások olyan személyekhez kerüljenek, akik valóban lakhatási segítségre szorulnak, megbízható bérlők lehetnek, és megfelelnek a rendeletben előírt szociális és jogi feltételeknek. A pályázat mindenki számára nyilvános, ugyanakkor részvételi feltételekhez kötött. Összességében a pályázati eljárás tisztaságát, a visszaélések kizárását, valamint a bérlők kiválasztását biztosítja.</w:t>
      </w:r>
    </w:p>
    <w:p w14:paraId="7C3FAC26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7. §-hoz és a 8. §-hoz </w:t>
      </w:r>
    </w:p>
    <w:p w14:paraId="31BC34C1" w14:textId="77777777" w:rsidR="00DA61BD" w:rsidRDefault="00DA61BD" w:rsidP="00DA61BD">
      <w:pPr>
        <w:pStyle w:val="Szvegtrzs"/>
        <w:spacing w:before="159" w:after="159" w:line="240" w:lineRule="auto"/>
        <w:jc w:val="both"/>
      </w:pPr>
      <w:r>
        <w:t>A 7–8. § célja, hogy a szociális alapú lakásbérlet rendszere igazságosan, a rászorultság mértékével arányosan működjön, és a bérlakások valóban a leginkább rászoruló személyekhez kerüljenek, így biztosítva, hogy a szociális bérlakások kiosztása objektív, rászorultság-alapú, átlátható és ellenőrizhető legyen.</w:t>
      </w:r>
    </w:p>
    <w:p w14:paraId="1C409FC4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lastRenderedPageBreak/>
        <w:t xml:space="preserve">A 9. §-hoz </w:t>
      </w:r>
    </w:p>
    <w:p w14:paraId="763DD8E6" w14:textId="77777777" w:rsidR="00DA61BD" w:rsidRDefault="00DA61BD" w:rsidP="00DA61BD">
      <w:pPr>
        <w:pStyle w:val="Szvegtrzs"/>
        <w:spacing w:after="0" w:line="240" w:lineRule="auto"/>
        <w:jc w:val="both"/>
      </w:pPr>
      <w:r>
        <w:t>A rendelkezés a piaci alapú és költségelven alapuló pályázatok esetén biztosítja a bérbeadó számára a szerződés teljesítésének pénzügyi garanciáját.</w:t>
      </w:r>
    </w:p>
    <w:p w14:paraId="3DB6E052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</w:p>
    <w:p w14:paraId="2BC891DE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10–13. §-hoz </w:t>
      </w:r>
    </w:p>
    <w:p w14:paraId="4890B097" w14:textId="77777777" w:rsidR="00DA61BD" w:rsidRDefault="00DA61BD" w:rsidP="00DA61BD">
      <w:pPr>
        <w:pStyle w:val="Szvegtrzs"/>
        <w:spacing w:before="159" w:after="159" w:line="240" w:lineRule="auto"/>
        <w:jc w:val="both"/>
      </w:pPr>
      <w:r>
        <w:t>10–13. § a pályázati eljárás átláthatóságát, jogszerűségét, felelősségteljes lebonyolítását és a lakásállomány hatékony hasznosítását biztosítja, miközben lehetőséget ad a kiírás rugalmas kezelésére a változó körülmények függvényében.</w:t>
      </w:r>
    </w:p>
    <w:p w14:paraId="71D35A82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14–16. §-hoz </w:t>
      </w:r>
    </w:p>
    <w:p w14:paraId="54441C45" w14:textId="77777777" w:rsidR="00DA61BD" w:rsidRDefault="00DA61BD" w:rsidP="00DA61BD">
      <w:pPr>
        <w:pStyle w:val="Szvegtrzs"/>
        <w:spacing w:after="0" w:line="240" w:lineRule="auto"/>
        <w:jc w:val="both"/>
      </w:pPr>
      <w:r>
        <w:t>14–16. § biztosítja, hogy a méltányossági alapon történő bérbeadás keretei jogszerűek, átláthatóak és ellenőrizhetőek legyenek, ezzel lehetővé téve a lakhatási támogatás célzott támogatását.</w:t>
      </w:r>
    </w:p>
    <w:p w14:paraId="53FD6466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17. §-hoz </w:t>
      </w:r>
    </w:p>
    <w:p w14:paraId="3B017505" w14:textId="77777777" w:rsidR="00DA61BD" w:rsidRDefault="00DA61BD" w:rsidP="00DA61BD">
      <w:pPr>
        <w:pStyle w:val="Szvegtrzs"/>
        <w:spacing w:after="160" w:line="240" w:lineRule="auto"/>
        <w:jc w:val="both"/>
      </w:pPr>
      <w:r>
        <w:t>A rendelkezés lehetővé teszi a bérlőkiválasztási jog rugalmas, szabályozott és felelősségteljes átadását szervezetek számára, miközben az Önkormányzat érdekei és a lakásállomány fenntarthatósága is biztosított marad.</w:t>
      </w:r>
    </w:p>
    <w:p w14:paraId="41F32419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18. §-hoz </w:t>
      </w:r>
    </w:p>
    <w:p w14:paraId="27BCA069" w14:textId="77777777" w:rsidR="00DA61BD" w:rsidRDefault="00DA61BD" w:rsidP="00DA61BD">
      <w:pPr>
        <w:pStyle w:val="Szvegtrzs"/>
        <w:spacing w:after="160" w:line="240" w:lineRule="auto"/>
        <w:jc w:val="both"/>
      </w:pPr>
      <w:r>
        <w:t>Biztosítja a bérlők védelmét, miközben az Önkormányzat számára lehetőséget ad a lakásállomány célzott, hatékony és jogszerű kezelésére.</w:t>
      </w:r>
    </w:p>
    <w:p w14:paraId="0A62A102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19. §-hoz </w:t>
      </w:r>
    </w:p>
    <w:p w14:paraId="04C77A6F" w14:textId="77777777" w:rsidR="00DA61BD" w:rsidRDefault="00DA61BD" w:rsidP="00DA61BD">
      <w:pPr>
        <w:pStyle w:val="Szvegtrzs"/>
        <w:spacing w:after="160" w:line="240" w:lineRule="auto"/>
        <w:jc w:val="both"/>
      </w:pPr>
      <w:r>
        <w:t>A 19. § a lakhatás biztonságát, a városfejlesztési folyamatok gördülékenységét és a közérdekű tevékenységet végzők lakhatási feltételeinek biztosítását szolgálja, a jogszabályi keretek között rugalmas és átlátható eljárást biztosít.</w:t>
      </w:r>
    </w:p>
    <w:p w14:paraId="73B0AA58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20. §-hoz </w:t>
      </w:r>
    </w:p>
    <w:p w14:paraId="5B83F0BF" w14:textId="77777777" w:rsidR="00DA61BD" w:rsidRDefault="00DA61BD" w:rsidP="00DA61BD">
      <w:pPr>
        <w:pStyle w:val="Szvegtrzs"/>
        <w:spacing w:after="160" w:line="240" w:lineRule="auto"/>
        <w:jc w:val="both"/>
      </w:pPr>
      <w:r>
        <w:t>Elősegíti a fiatalok lakhatási lehetőségeit, ösztönzi a lakáscélú megtakarítást, és biztosítja a bérlői kötelezettségek betartását, miközben a lakásállomány célzott és felelős felhasználását garantálja.</w:t>
      </w:r>
    </w:p>
    <w:p w14:paraId="6FB7B61C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21. §-hoz és a 22. §-hoz </w:t>
      </w:r>
    </w:p>
    <w:p w14:paraId="75D2517F" w14:textId="77777777" w:rsidR="00DA61BD" w:rsidRDefault="00DA61BD" w:rsidP="00DA61BD">
      <w:pPr>
        <w:pStyle w:val="Szvegtrzs"/>
        <w:spacing w:after="160" w:line="240" w:lineRule="auto"/>
        <w:jc w:val="both"/>
      </w:pPr>
      <w:r>
        <w:t>A 21–22. §-ok biztosítják, hogy a jogcím nélkül a lakásban visszamaradt személyek elhelyezése méltányos, szabályozott és az Önkormányzat szempontjából is kezelhető módon történjen. A szabályozás rögzíti a jogosultsági feltételeket, az eljárási rendet, valamint az esetleges pénzbeli térítés lehetőségét.</w:t>
      </w:r>
    </w:p>
    <w:p w14:paraId="208D62C2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23. §-hoz </w:t>
      </w:r>
    </w:p>
    <w:p w14:paraId="6B127C6C" w14:textId="77777777" w:rsidR="00DA61BD" w:rsidRDefault="00DA61BD" w:rsidP="00DA61BD">
      <w:pPr>
        <w:pStyle w:val="Szvegtrzs"/>
        <w:spacing w:after="160" w:line="240" w:lineRule="auto"/>
        <w:jc w:val="both"/>
      </w:pPr>
      <w:r>
        <w:t>A rendelkezések rendezett, átlátható és méltányos keretet teremtenek az önkormányzati lakáscserék lebonyolításához. Olyan bérlők számára biztosít lehetőséget nagyobb vagy kisebb, számukra megfelelőbb lakásba költözni, akik jelenlegi lakásuk méreténél fogva indokoltan rászorulnak a lakáscserére, ugyanakkor nem rendelkeznek olyan ingatlanvagyonnal, amely a lakáscserét szükségtelenné tenné.</w:t>
      </w:r>
    </w:p>
    <w:p w14:paraId="3F3C342B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24. §-hoz </w:t>
      </w:r>
    </w:p>
    <w:p w14:paraId="03AA360F" w14:textId="77777777" w:rsidR="00DA61BD" w:rsidRDefault="00DA61BD" w:rsidP="00DA61BD">
      <w:pPr>
        <w:pStyle w:val="Szvegtrzs"/>
        <w:spacing w:after="160" w:line="240" w:lineRule="auto"/>
        <w:jc w:val="both"/>
      </w:pPr>
      <w:r>
        <w:t xml:space="preserve">Olyan garanciális szabályokat tartalmaz, melyek biztosítják, hogy a lakásbérleti jogviszony folytatása kizárólag jogszerű, indokolt esetekben valósulhasson meg. A rendelkezés biztosítja a </w:t>
      </w:r>
      <w:r>
        <w:lastRenderedPageBreak/>
        <w:t>rászoruló lakók lakhatásának folytonosságát, miközben megakadályozza az önkormányzati lakásállomány indokolatlan igénybevételét.</w:t>
      </w:r>
    </w:p>
    <w:p w14:paraId="33E88829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25. §-hoz </w:t>
      </w:r>
    </w:p>
    <w:p w14:paraId="7ABC54E6" w14:textId="77777777" w:rsidR="00DA61BD" w:rsidRDefault="00DA61BD" w:rsidP="00DA61BD">
      <w:pPr>
        <w:pStyle w:val="Szvegtrzs"/>
        <w:spacing w:after="160" w:line="240" w:lineRule="auto"/>
        <w:jc w:val="both"/>
      </w:pPr>
      <w:r>
        <w:t>A 25. § olyan szabályokat tartalmaz, amelyek biztosítják, hogy a tartási szerződés ne váljon a bérleti jog megkerülésének eszközévé. A rendelkezés egyensúlyt teremt a rászorulók gondozásának erkölcsi és gyakorlati indokoltsága, valamint az önkormányzati lakásállomány védelme között.</w:t>
      </w:r>
    </w:p>
    <w:p w14:paraId="2611EAC0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26. §-hoz </w:t>
      </w:r>
    </w:p>
    <w:p w14:paraId="18679082" w14:textId="77777777" w:rsidR="00DA61BD" w:rsidRDefault="00DA61BD" w:rsidP="00DA61BD">
      <w:pPr>
        <w:pStyle w:val="Szvegtrzs"/>
        <w:spacing w:after="160" w:line="240" w:lineRule="auto"/>
        <w:jc w:val="both"/>
      </w:pPr>
      <w:r>
        <w:t>A rendelkezés biztosítja a jogviszony átláthatóságát, és azt, hogy az átmeneti elhelyezés ne minősüljön automatikusan tartós bérleti jogviszonynak. A Polgármester döntési jogköre garanciát ad arra, hogy gyorsan és egyedi mérlegeléssel történjen a segítségnyújtás.</w:t>
      </w:r>
    </w:p>
    <w:p w14:paraId="581F8D03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27. §-hoz </w:t>
      </w:r>
    </w:p>
    <w:p w14:paraId="4D71985C" w14:textId="77777777" w:rsidR="00DA61BD" w:rsidRDefault="00DA61BD" w:rsidP="00DA61BD">
      <w:pPr>
        <w:pStyle w:val="Szvegtrzs"/>
        <w:spacing w:after="160" w:line="240" w:lineRule="auto"/>
        <w:jc w:val="both"/>
      </w:pPr>
      <w:r>
        <w:t>A bérlőtársi jogviszony egyenrangú, közös jogokat és kötelezettségeket biztosító együttlakási forma, amely a lakás jogi helyzetét stabilizálja olyan személyek között, akik között tartós, életvitelszerű kapcsolat áll fenn.</w:t>
      </w:r>
    </w:p>
    <w:p w14:paraId="19EEED52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28. §-hoz </w:t>
      </w:r>
    </w:p>
    <w:p w14:paraId="7E132BD7" w14:textId="77777777" w:rsidR="00DA61BD" w:rsidRDefault="00DA61BD" w:rsidP="00DA61BD">
      <w:pPr>
        <w:pStyle w:val="Szvegtrzs"/>
        <w:spacing w:after="160" w:line="240" w:lineRule="auto"/>
        <w:jc w:val="both"/>
      </w:pPr>
      <w:r>
        <w:t>A 28. § a bérlő által kérelmezett befogadás feltételeit határozza meg olyan esetekben, amikor a bérlő a lakásba nem automatikusan befogadható hozzátartozót vagy más közeli személyt kíván bejelenteni. A befogadás a lakáshasználók körének bővítését jelenti, amely a lakásigény-méretezés, valamint a bérleti jogviszony későbbi alakulása szempontjából jelentős.</w:t>
      </w:r>
    </w:p>
    <w:p w14:paraId="4085DB21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29. §-hoz </w:t>
      </w:r>
    </w:p>
    <w:p w14:paraId="6A345CEC" w14:textId="77777777" w:rsidR="00DA61BD" w:rsidRDefault="00DA61BD" w:rsidP="00DA61BD">
      <w:pPr>
        <w:pStyle w:val="Szvegtrzs"/>
        <w:spacing w:after="160" w:line="240" w:lineRule="auto"/>
        <w:jc w:val="both"/>
      </w:pPr>
      <w:r>
        <w:t>Az önkormányzati lakás vagy annak bármely része sem albérletbe, sem bérbe nem adható tovább. A szabály az önkormányzati vagyon védelmét szolgálja, és kizárja a lakások piaci alapú hasznosítását, illetve a lakbérekből származó magánnyereség megszerzését.</w:t>
      </w:r>
    </w:p>
    <w:p w14:paraId="75DDC510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30. §-hoz </w:t>
      </w:r>
    </w:p>
    <w:p w14:paraId="57DDF644" w14:textId="77777777" w:rsidR="00DA61BD" w:rsidRDefault="00DA61BD" w:rsidP="00DA61BD">
      <w:pPr>
        <w:pStyle w:val="Szvegtrzs"/>
        <w:spacing w:after="160" w:line="240" w:lineRule="auto"/>
        <w:jc w:val="both"/>
      </w:pPr>
      <w:r>
        <w:t>A döntés meghozatala biztosítja az átlátható, objektív szempontok alapján történő eljárást. A bérlők csak akkor cserélhessenek lakást, ha nem rendelkeznek más lakással vagy bérleti joggal, ezáltal védve az önkormányzat vagyonát és a rászorulók esélyegyenlőségét.</w:t>
      </w:r>
    </w:p>
    <w:p w14:paraId="793D677D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31. §-hoz és a 32. §-hoz </w:t>
      </w:r>
    </w:p>
    <w:p w14:paraId="43B82FFB" w14:textId="77777777" w:rsidR="00DA61BD" w:rsidRDefault="00DA61BD" w:rsidP="00DA61BD">
      <w:pPr>
        <w:pStyle w:val="Szvegtrzs"/>
        <w:spacing w:after="160" w:line="240" w:lineRule="auto"/>
        <w:jc w:val="both"/>
      </w:pPr>
      <w:r>
        <w:t>A szabályozás célja, hogy egyrészt biztosítsa a lakások hatékony, közérdekű felhasználását, másrészt védje a bérlők jogos érdekeit, különösen a tartós jogviszonyban vagy rászorultság esetén. A határozott és határozatlan idő, valamint a hosszabbítás lehetősége rugalmas, de kontrollált keretet biztosít az önkormányzati lakásgazdálkodás számára.</w:t>
      </w:r>
    </w:p>
    <w:p w14:paraId="0C15768B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33. §-hoz </w:t>
      </w:r>
    </w:p>
    <w:p w14:paraId="2E717B7A" w14:textId="77777777" w:rsidR="00DA61BD" w:rsidRDefault="00DA61BD" w:rsidP="00DA61BD">
      <w:pPr>
        <w:pStyle w:val="Szvegtrzs"/>
        <w:spacing w:after="160" w:line="240" w:lineRule="auto"/>
        <w:jc w:val="both"/>
      </w:pPr>
      <w:r>
        <w:t>A szabályozás célja, hogy garantálja az Önkormányzat számára a lakások fenntartásához és a kapcsolódó szolgáltatásokhoz szükséges bevételt.</w:t>
      </w:r>
    </w:p>
    <w:p w14:paraId="529ACE03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34. §-hoz </w:t>
      </w:r>
    </w:p>
    <w:p w14:paraId="17DE2900" w14:textId="77777777" w:rsidR="00DA61BD" w:rsidRDefault="00DA61BD" w:rsidP="00DA61BD">
      <w:pPr>
        <w:pStyle w:val="Szvegtrzs"/>
        <w:spacing w:after="160" w:line="240" w:lineRule="auto"/>
        <w:jc w:val="both"/>
      </w:pPr>
      <w:r>
        <w:t>A 34. § rendelkezései átfogó keretet biztosítanak a bérleti szerződés tartalmára, a bérlői kötelezettségekre és az Önkormányzat ellenőrzési jogkörére.</w:t>
      </w:r>
    </w:p>
    <w:p w14:paraId="40D7ABA8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35–37. §-hoz </w:t>
      </w:r>
    </w:p>
    <w:p w14:paraId="2CE130E3" w14:textId="77777777" w:rsidR="00DA61BD" w:rsidRDefault="00DA61BD" w:rsidP="00DA61BD">
      <w:pPr>
        <w:pStyle w:val="Szvegtrzs"/>
        <w:spacing w:after="160" w:line="240" w:lineRule="auto"/>
        <w:jc w:val="both"/>
      </w:pPr>
      <w:r>
        <w:t xml:space="preserve">A 35–37. § szabályozza a lakások átalakításának és korszerűsítésének jogosultságát, feltételeit, költségviselését és megtérítését, valamint a lakbér módosításának logikáját a komfortfokozat, </w:t>
      </w:r>
      <w:r>
        <w:lastRenderedPageBreak/>
        <w:t>szobaszám vagy alapterület változásakor. Biztosítja a bérlő és az Önkormányzat érdekeinek védelmét, elősegíti a lakások értékének növelését, és egyértelmű, átlátható keretet ad a költségek megtérítésére és a lakbér módosítására.</w:t>
      </w:r>
    </w:p>
    <w:p w14:paraId="561D3AAC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38. §-hoz és a 39. §-hoz </w:t>
      </w:r>
    </w:p>
    <w:p w14:paraId="3A60B9E4" w14:textId="77777777" w:rsidR="00DA61BD" w:rsidRDefault="00DA61BD" w:rsidP="00DA61BD">
      <w:pPr>
        <w:pStyle w:val="Szvegtrzs"/>
        <w:spacing w:after="160" w:line="240" w:lineRule="auto"/>
        <w:jc w:val="both"/>
      </w:pPr>
      <w:r>
        <w:t>A 38-39. §-ok szabályozzák a lakásbérleti jogviszony közös megegyezéssel történő megszüntetését, a pénzbeli térítés feltételeit, valamint az Önkormányzat rendkívüli felmondási jogkörét. Céljuk, hogy a bérlő és az Önkormányzat érdekei egyensúlyban legyenek, a közérdek, lakásgazdálkodás és szociális szempontok megvalósuljanak, és a felmondás bizonyítékokra és szabályokra alapozott, jogszerű módon történjen.</w:t>
      </w:r>
    </w:p>
    <w:p w14:paraId="2BC83EC4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40–61. §-hoz </w:t>
      </w:r>
    </w:p>
    <w:p w14:paraId="3C1C9E00" w14:textId="77777777" w:rsidR="00DA61BD" w:rsidRDefault="00DA61BD" w:rsidP="00DA61BD">
      <w:pPr>
        <w:pStyle w:val="Szvegtrzs"/>
        <w:spacing w:after="160" w:line="240" w:lineRule="auto"/>
        <w:jc w:val="both"/>
      </w:pPr>
      <w:r>
        <w:t>A 40–61. §-ok célja, hogy az önkormányzati bérlakások bérleti díjának és a kapcsolódó szolgáltatások díjának megállapítását, beszedését és módosítását átláthatóan és jogszerűen szabályozza. A rendelkezések biztosítják, hogy a lakbér fedezze az Önkormányzatot terhelő költségeket, mint például az épületek karbantartása, központi berendezések üzemeltetése, felújítása, valamint a közös használatú helyiségek állagmegóvását. Emellett a szabályozás lehetővé teszi a szociálisan rászoruló bérlők támogatását, a jogosultság folyamatos felülvizsgálatát, a jogszerű lakáshasználat fenntartását, a lakbér típusainak alkalmazkodását a bérlők jövedelmi és vagyoni viszonyaihoz, valamint a lakások komfortfokozatát, alapterületét és egyéb tényezőit érintő változások kezelhetőségét. A cél a bérlők és az Önkormányzat érdekeinek összehangolása, a bérleti jogviszonyok átláthatósága és a lakásgazdálkodás hatékony működtetése.</w:t>
      </w:r>
    </w:p>
    <w:p w14:paraId="30E633B4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62. §-hoz </w:t>
      </w:r>
    </w:p>
    <w:p w14:paraId="0A5A41BB" w14:textId="77777777" w:rsidR="00DA61BD" w:rsidRDefault="00DA61BD" w:rsidP="00DA61BD">
      <w:pPr>
        <w:pStyle w:val="Szvegtrzs"/>
        <w:spacing w:before="159" w:after="159" w:line="240" w:lineRule="auto"/>
        <w:ind w:left="159" w:right="159"/>
        <w:jc w:val="both"/>
      </w:pPr>
      <w:r>
        <w:t>A helyiségbérbeadás céljainak meghatározása biztosítja, hogy a nem lakás célú, önkormányzati tulajdonú ingatlanok elsősorban a lakosság ellátását szolgáló, közérdekű tevékenységek megvalósítását támogassák. A bérbeadási célok kijelölése elősegíti a kerület gazdasági és szolgáltatási infrastruktúrájának kiszámíthatóságát, valamint a rendelkezésre álló ingatlanvagyon hatékony és átlátható hasznosítását. A bérbeadási cél meghatározásának bizottsági hatáskörbe utalása biztosítja a szakmai szempontok érvényesítését és az aktuális igényekre történő gyors reagálást.</w:t>
      </w:r>
    </w:p>
    <w:p w14:paraId="43986565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63–65. §-hoz </w:t>
      </w:r>
    </w:p>
    <w:p w14:paraId="4876B1F3" w14:textId="77777777" w:rsidR="00DA61BD" w:rsidRDefault="00DA61BD" w:rsidP="00DA61BD">
      <w:pPr>
        <w:pStyle w:val="Szvegtrzs"/>
        <w:spacing w:before="159" w:after="159" w:line="240" w:lineRule="auto"/>
        <w:ind w:left="159" w:right="159"/>
        <w:jc w:val="both"/>
      </w:pPr>
      <w:r>
        <w:t>A 63. § az üres vagy üresnek minősülő helyiségek meghatározásával egyértelművé teszi, hogy milyen feltételek mellett kerülhet sor új bérleti jogviszony létesítésére, hogy biztosítva legyen az ingatlanvagyon folyamatos kihasználtsága.</w:t>
      </w:r>
    </w:p>
    <w:p w14:paraId="0C95A474" w14:textId="77777777" w:rsidR="00DA61BD" w:rsidRDefault="00DA61BD" w:rsidP="00DA61BD">
      <w:pPr>
        <w:pStyle w:val="Szvegtrzs"/>
        <w:spacing w:before="159" w:after="159" w:line="240" w:lineRule="auto"/>
        <w:ind w:left="159" w:right="159"/>
        <w:jc w:val="both"/>
      </w:pPr>
      <w:r>
        <w:t>A 64. § a bérlők kiválasztásának módjait – így a pályázaton nyertes bérlő, a szerződéshosszabbításra jogosult bérlő, az áthelyezéssel érintett bérlő, valamint a kijelölési joggal rendelkező szerv által meghatározott személy – rögzíti, továbbá kizárja az önkormányzattal szemben tartozást felhalmozó érdekelteket, ami a felelős gazdálkodást erősíti.</w:t>
      </w:r>
    </w:p>
    <w:p w14:paraId="63D29C34" w14:textId="77777777" w:rsidR="00DA61BD" w:rsidRDefault="00DA61BD" w:rsidP="00DA61BD">
      <w:pPr>
        <w:pStyle w:val="Szvegtrzs"/>
        <w:spacing w:before="159" w:after="159" w:line="240" w:lineRule="auto"/>
        <w:ind w:left="159" w:right="159"/>
        <w:jc w:val="both"/>
      </w:pPr>
      <w:r>
        <w:t xml:space="preserve">A 65. § a pályázati és pályázat nélküli bérbeadás eseteit elkülönítve biztosítja a nemzeti vagyonra vonatkozó előírások érvényesülését. A pályázati kötelezettség a nagyobb értékű helyiségek esetén versenysemlegességet garantál, míg a pályázat mellőzésének esetei – például szerződéshosszabbítás, cserehelyiség biztosítása, önkormányzati igény, kijelölési jog gyakorlása, életvédelmi célok, közérdekű feladatok ellátása – lehetővé teszik a hatékony, rugalmas és közfeladat-orientált vagyonhasznosítást. A Bartók-negyed speciális kulturális célú bérbeadási szabályai a terület kulturális karakterének megőrzését és fejlesztését </w:t>
      </w:r>
      <w:r>
        <w:lastRenderedPageBreak/>
        <w:t>szolgálják, szakbizottsági javaslattételi jogkörrel kiegészítve. A 2. mellékletben többek között szerepelnek a Bartók-negyed Kulturális Övezetre vonatkozó egyes helyiségek felsorolása. Ez a differenciált szabályozás összességében biztosítja, hogy a helyiségbérbeadás egyszerre feleljen meg a közérdeknek és az Önkormányzat stratégiai vagyonkezelési céljainak.</w:t>
      </w:r>
    </w:p>
    <w:p w14:paraId="21BF5B39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66–72. §-hoz </w:t>
      </w:r>
    </w:p>
    <w:p w14:paraId="451B5580" w14:textId="77777777" w:rsidR="00DA61BD" w:rsidRDefault="00DA61BD" w:rsidP="00DA61BD">
      <w:pPr>
        <w:pStyle w:val="Szvegtrzs"/>
        <w:spacing w:before="159" w:after="159" w:line="240" w:lineRule="auto"/>
        <w:ind w:left="159" w:right="159"/>
        <w:jc w:val="both"/>
      </w:pPr>
      <w:r>
        <w:t>A pályázati eljárás szabályainak rögzítése azt a célt szolgálja, hogy az önkormányzati tulajdonú helyiségek bérbeadása átlátható folyamat keretében történjen. A pályázati feltételek, a részvételre jogosultak köre, a kiírás kötelező elemei és a benyújtás, elbírálás, szerződéskötés egységes rendje biztosítja, hogy a bérlő kiválasztása a legkedvezőbb ajánlatot tevő, kizárólag a feltételeknek megfelelő pályázók közül történjen. A szabályozás a jogbiztonságot erősíti, továbbá garantálja az önkormányzati vagyon hatékony, gazdaságos és felelős hasznosítását.</w:t>
      </w:r>
    </w:p>
    <w:p w14:paraId="44ABE764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73. §-hoz </w:t>
      </w:r>
    </w:p>
    <w:p w14:paraId="11D8C3A5" w14:textId="77777777" w:rsidR="00DA61BD" w:rsidRDefault="00DA61BD" w:rsidP="00DA61BD">
      <w:pPr>
        <w:pStyle w:val="Szvegtrzs"/>
        <w:spacing w:before="159" w:after="159" w:line="240" w:lineRule="auto"/>
        <w:ind w:left="159" w:right="159"/>
        <w:jc w:val="both"/>
      </w:pPr>
      <w:r>
        <w:t>A határozott, határozatlan és feltételhez kötött bérleti időszakok lehetővé teszik, hogy az önkormányzat rugalmasan reagáljon az intézményi igények alakulására. A szerződések hosszabbításának feltételei a megbízható, kötelezettségeiket teljesítő bérlők helyzetét erősítik, miközben biztosítják, hogy a bérleti jogviszony fenntartása továbbra is összhangban maradjon az önkormányzat érdekeivel.</w:t>
      </w:r>
    </w:p>
    <w:p w14:paraId="43D63C06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74. §-hoz és a 75. §-hoz </w:t>
      </w:r>
    </w:p>
    <w:p w14:paraId="0CC99D08" w14:textId="77777777" w:rsidR="00DA61BD" w:rsidRDefault="00DA61BD" w:rsidP="00DA61BD">
      <w:pPr>
        <w:pStyle w:val="Szvegtrzs"/>
        <w:spacing w:before="159" w:after="159" w:line="240" w:lineRule="auto"/>
        <w:ind w:left="159" w:right="159"/>
        <w:jc w:val="both"/>
      </w:pPr>
      <w:r>
        <w:t>Az értékbecslésen alapuló díjmegállapítás biztosítja a vagyonnal való felelős gazdálkodást, míg a pályázati eljárás során tett ajánlat díjként való érvényesítése a verseny tisztaságát és a legkedvezőbb ajánlat kiválasztását támogatja. A 2. mellékletben szerepelnek a Bartók-negyed Kulturális Övezetre vonatkozó díjkedvezmények, a bérbeadó által támogatott tevékenyég ösztönzésként. Az egyéb díjak szerződésben való rögzítése a jogbiztonságot és a bérlői kötelezettségek egyértelműségét szolgálja. A jogcím nélküli használatra vonatkozó kétszeres használati díj előírása pedig megelőzi a helyiségek jogszerűtlen igénybevételét, és ösztönzi a szabályos bérleti jogviszony rendezését.</w:t>
      </w:r>
    </w:p>
    <w:p w14:paraId="2D99F022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76. §-hoz és a 77. §-hoz </w:t>
      </w:r>
    </w:p>
    <w:p w14:paraId="059E12FC" w14:textId="77777777" w:rsidR="00DA61BD" w:rsidRDefault="00DA61BD" w:rsidP="00DA61BD">
      <w:pPr>
        <w:pStyle w:val="Szvegtrzs"/>
        <w:spacing w:before="159" w:after="159" w:line="240" w:lineRule="auto"/>
        <w:ind w:left="159" w:right="159"/>
        <w:jc w:val="both"/>
      </w:pPr>
      <w:r>
        <w:t>A helyiségbérleti szerződések tartalmára vonatkozóan rögzítésre kerül a felújítási, karbantartási és használati kötelezettségek előírása, amely biztosítja a helyiségek állagának megóvását és rendeltetésszerű hasznosítását. Az óvadékra, a szerződésben rögzített tevékenység folytatására, valamint a közjegyzői okiratba foglalt kötelezettségvállalásra vonatkozó szabályok a bérbeadó önkormányzat érdekeit védik, és garantálják a szerződéses kötelezettségek kikényszeríthetőségét. A rendkívüli felmondási és kártérítési rendelkezések a jogviszony stabilitását, a visszaélések megelőzését és az önkormányzati vagyon hatékony védelmét szolgálják. Az egyszerűsített polgári perre vonatkozó szabályok 2025. augusztustól a jogérvényesítés gyorsabb és költséghatékonyabb útját biztosítják a bérbeadó számára.</w:t>
      </w:r>
    </w:p>
    <w:p w14:paraId="1C4AFDBA" w14:textId="77777777" w:rsidR="00DA61BD" w:rsidRDefault="00DA61BD" w:rsidP="00DA61BD">
      <w:pPr>
        <w:pStyle w:val="Szvegtrzs"/>
        <w:spacing w:before="159" w:after="159" w:line="240" w:lineRule="auto"/>
        <w:ind w:left="159" w:right="159"/>
        <w:jc w:val="both"/>
      </w:pPr>
      <w:r>
        <w:t>A 77. § az önkormányzati hatáskörök elhatárolását nevesíti.</w:t>
      </w:r>
    </w:p>
    <w:p w14:paraId="03F49A8C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78–82. §-hoz </w:t>
      </w:r>
    </w:p>
    <w:p w14:paraId="59D99565" w14:textId="77777777" w:rsidR="00DA61BD" w:rsidRDefault="00DA61BD" w:rsidP="00DA61BD">
      <w:pPr>
        <w:pStyle w:val="Szvegtrzs"/>
        <w:spacing w:before="159" w:after="159" w:line="240" w:lineRule="auto"/>
        <w:ind w:left="159" w:right="159"/>
        <w:jc w:val="both"/>
      </w:pPr>
      <w:r>
        <w:t>A bérbeadói hozzájárulás szabályai rögzítik, a tulajdonosi jogokat gyakorló bizottság albérletbe adás, befogadás, bérleti jog átruházás, tevékenyég módosítás feltételeit. Tekintettel arra, hogy a jogalkotó szándéka, hogy az önkormányzati tulajdonú helyiségek albérletbe adására csak bizonyos, kevés számú, indokolt esetben kerüljön sor, a bérleti díj jelentős – négyszeres – megemelése vált szükségessé. A bérleti jogviszony öröklés esetén történő folytatása egy hiánypótló rendelkezés, amelyre a jelenleg hatályos bérbeadási rendelet nem ad lehetőséget. A bérleti jogviszony átruházása és a tevékenyég változásához történő hozzájárulás egyaránt az önkormányzati helyiséggazdálkodás által preferált lakosság számára fontos szolgáltatási és kereskedelmi szükségleteket kívánja hosszú távon megőrizni.</w:t>
      </w:r>
    </w:p>
    <w:p w14:paraId="0B4527CD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83–85. §-hoz </w:t>
      </w:r>
    </w:p>
    <w:p w14:paraId="77148A5B" w14:textId="77777777" w:rsidR="00DA61BD" w:rsidRDefault="00DA61BD" w:rsidP="00DA61BD">
      <w:pPr>
        <w:pStyle w:val="Szvegtrzs"/>
        <w:spacing w:before="159" w:after="159" w:line="240" w:lineRule="auto"/>
        <w:ind w:left="159" w:right="159"/>
        <w:jc w:val="both"/>
      </w:pPr>
      <w:r>
        <w:t>A szabályozás célja, hogy a lakások és helyiségek használata közvetlenül kapcsolódjon az Önkormányzat költségvetési szervei által ellátott alapfeladatokhoz, és azok ne kerülhessenek olyan személyekhez, vagy hasznosítási formákhoz, amelyek elválasztják az ingatlanokat közszolgálati funkciójuktól. A rendelet a közérdek védelmét, az önkormányzati vagyongazdálkodás átláthatóságát és a költségvetési szervek hatékony működését szolgálja azáltal, hogy a lakások és helyiségek használatát szigorúan a munkavégzéshez, illetve az alaptevékenységhez köti.</w:t>
      </w:r>
    </w:p>
    <w:p w14:paraId="6A0CCFAC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86. §-hoz és a 87. §-hoz </w:t>
      </w:r>
    </w:p>
    <w:p w14:paraId="0887FB30" w14:textId="77777777" w:rsidR="00DA61BD" w:rsidRDefault="00DA61BD" w:rsidP="00DA61BD">
      <w:pPr>
        <w:pStyle w:val="Szvegtrzs"/>
        <w:spacing w:before="159" w:after="159" w:line="240" w:lineRule="auto"/>
        <w:ind w:left="159" w:right="159"/>
        <w:jc w:val="both"/>
      </w:pPr>
      <w:r>
        <w:t>A 86. § az ingatlannal kapcsolatos valamennyi eljárás során szükséges személyes adatok körét és az adatkezelés alapvető szabályait rögzíti. Célja, hogy a jövedelmi és vagyoni helyzet megállapításához szükséges adatok jogszerűen, egységesen és ellenőrizhető módon kerüljenek bekérésre és nyilvántartásba.</w:t>
      </w:r>
    </w:p>
    <w:p w14:paraId="63BC2405" w14:textId="77777777" w:rsidR="00DA61BD" w:rsidRDefault="00DA61BD" w:rsidP="00DA61BD">
      <w:pPr>
        <w:pStyle w:val="Szvegtrzs"/>
        <w:spacing w:before="159" w:after="159" w:line="240" w:lineRule="auto"/>
        <w:ind w:left="159" w:right="159"/>
        <w:jc w:val="both"/>
      </w:pPr>
      <w:r>
        <w:t>A 87. § a nyilvántartás vezetésének és felhasználásának garanciális szabályait határozza meg. Biztosítja, hogy az összegyűjtött adatok kizárólag a rendeletben meghatározott eljárásokhoz használhatók fel, így védi az érintettek személyes adatait és az adatkezelés célhoz kötöttségét.</w:t>
      </w:r>
    </w:p>
    <w:p w14:paraId="43BECDE0" w14:textId="77777777" w:rsidR="00DA61BD" w:rsidRDefault="00DA61BD" w:rsidP="00DA61BD">
      <w:pPr>
        <w:pStyle w:val="Szvegtrzs"/>
        <w:spacing w:before="159" w:after="159" w:line="240" w:lineRule="auto"/>
        <w:ind w:left="159" w:right="159"/>
        <w:jc w:val="both"/>
      </w:pPr>
      <w:r>
        <w:t>A rendelet 3. melléklete tartalmazza az adatkezelési tájékoztatót.</w:t>
      </w:r>
    </w:p>
    <w:p w14:paraId="09ECE019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88. §-hoz </w:t>
      </w:r>
    </w:p>
    <w:p w14:paraId="5F5DCAC3" w14:textId="77777777" w:rsidR="00DA61BD" w:rsidRDefault="00DA61BD" w:rsidP="00DA61BD">
      <w:pPr>
        <w:pStyle w:val="Szvegtrzs"/>
        <w:spacing w:before="159" w:after="159" w:line="240" w:lineRule="auto"/>
        <w:ind w:left="159" w:right="159"/>
        <w:jc w:val="both"/>
      </w:pPr>
      <w:r>
        <w:t>Tekintettel arra, hogy új rendelet lépett hatályba, ezzel egyidőben szükségessé vált a korábbi szabályozást tartalmazó rendelet hatályon kívül helyezése.</w:t>
      </w:r>
    </w:p>
    <w:p w14:paraId="2C389713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89. §-hoz </w:t>
      </w:r>
    </w:p>
    <w:p w14:paraId="12086D86" w14:textId="77777777" w:rsidR="00DA61BD" w:rsidRDefault="00DA61BD" w:rsidP="00DA61BD">
      <w:pPr>
        <w:pStyle w:val="Szvegtrzs"/>
        <w:spacing w:before="159" w:after="159" w:line="240" w:lineRule="auto"/>
        <w:ind w:left="159" w:right="159"/>
        <w:jc w:val="both"/>
      </w:pPr>
      <w:r>
        <w:t>A rendelet hatálybalépéséről rendelkezik.</w:t>
      </w:r>
    </w:p>
    <w:p w14:paraId="685E7B4E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Az 1. melléklethez </w:t>
      </w:r>
    </w:p>
    <w:p w14:paraId="0BAD4012" w14:textId="77777777" w:rsidR="00DA61BD" w:rsidRDefault="00DA61BD" w:rsidP="00DA61BD">
      <w:pPr>
        <w:pStyle w:val="Szvegtrzs"/>
        <w:spacing w:before="159" w:after="159" w:line="240" w:lineRule="auto"/>
        <w:ind w:left="159" w:right="159"/>
        <w:jc w:val="both"/>
      </w:pPr>
      <w:r>
        <w:t>Az 1. melléklet lehetővé teszi a szociálisan rászoruló bérlők támogatását, figyelembe véve a bérlők jövedelmi viszonyait és a lakás fenntartásának költségeit.</w:t>
      </w:r>
    </w:p>
    <w:p w14:paraId="107FB920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2. melléklethez </w:t>
      </w:r>
    </w:p>
    <w:p w14:paraId="0EEDB826" w14:textId="77777777" w:rsidR="00DA61BD" w:rsidRDefault="00DA61BD" w:rsidP="00DA61BD">
      <w:pPr>
        <w:pStyle w:val="Szvegtrzs"/>
        <w:spacing w:before="159" w:after="159" w:line="240" w:lineRule="auto"/>
        <w:ind w:left="159" w:right="159"/>
        <w:jc w:val="both"/>
      </w:pPr>
      <w:r>
        <w:t>A 2. melléklet az önkormányzati helyiségek teljes XI. kerületet lefedő övezeti besorolását tartalmazza, amely a bérleti díj számítás alapja. A Bartók-negyed kulturális övezet taxatívan felsorolja a Bartók-negyed területén a kiemelt helyiségeket.</w:t>
      </w:r>
    </w:p>
    <w:p w14:paraId="50BE5422" w14:textId="77777777" w:rsidR="00DA61BD" w:rsidRDefault="00DA61BD" w:rsidP="00DA61B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3. melléklethez </w:t>
      </w:r>
    </w:p>
    <w:p w14:paraId="5C683712" w14:textId="0EDF94F0" w:rsidR="00CF237A" w:rsidRDefault="00DA61BD" w:rsidP="00DA61BD">
      <w:pPr>
        <w:pStyle w:val="Szvegtrzs"/>
        <w:spacing w:before="159" w:after="159" w:line="240" w:lineRule="auto"/>
        <w:ind w:left="159" w:right="159"/>
        <w:jc w:val="both"/>
      </w:pPr>
      <w:r>
        <w:t>A 3. melléklet a bérleti jogviszonnyal kapcsolatos valamennyi eljárás során szükséges személyes adatok kezelésének alapvető szabályait rögzíti.</w:t>
      </w:r>
    </w:p>
    <w:sectPr w:rsidR="00CF237A" w:rsidSect="009E67E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0" w:footer="1134" w:gutter="0"/>
      <w:cols w:space="708"/>
      <w:formProt w:val="0"/>
      <w:titlePg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076A25" w14:textId="77777777" w:rsidR="007116DF" w:rsidRDefault="007116DF" w:rsidP="009E67E1">
      <w:r>
        <w:separator/>
      </w:r>
    </w:p>
  </w:endnote>
  <w:endnote w:type="continuationSeparator" w:id="0">
    <w:p w14:paraId="3CD069BF" w14:textId="77777777" w:rsidR="007116DF" w:rsidRDefault="007116DF" w:rsidP="009E67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oto Sans CJK SC Regular">
    <w:altName w:val="Cambria"/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24DB16" w14:textId="77777777" w:rsidR="009E67E1" w:rsidRDefault="009E67E1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CFB0F" w14:textId="77777777" w:rsidR="00DA61BD" w:rsidRDefault="00DA61BD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47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DFBB9" w14:textId="77777777" w:rsidR="009E67E1" w:rsidRDefault="009E67E1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A245D8" w14:textId="77777777" w:rsidR="007116DF" w:rsidRDefault="007116DF" w:rsidP="009E67E1">
      <w:r>
        <w:separator/>
      </w:r>
    </w:p>
  </w:footnote>
  <w:footnote w:type="continuationSeparator" w:id="0">
    <w:p w14:paraId="4C4FA580" w14:textId="77777777" w:rsidR="007116DF" w:rsidRDefault="007116DF" w:rsidP="009E67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16C6EE" w14:textId="77777777" w:rsidR="009E67E1" w:rsidRDefault="009E67E1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601CA9" w14:textId="77777777" w:rsidR="009E67E1" w:rsidRDefault="009E67E1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D16B4" w14:textId="77777777" w:rsidR="009E67E1" w:rsidRDefault="009E67E1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1BD"/>
    <w:rsid w:val="00005CDF"/>
    <w:rsid w:val="00017EEB"/>
    <w:rsid w:val="00021CDE"/>
    <w:rsid w:val="00046FEB"/>
    <w:rsid w:val="000562FF"/>
    <w:rsid w:val="00093F57"/>
    <w:rsid w:val="000B265E"/>
    <w:rsid w:val="000B5F92"/>
    <w:rsid w:val="000D6191"/>
    <w:rsid w:val="000E3E0A"/>
    <w:rsid w:val="000E63B0"/>
    <w:rsid w:val="000F292B"/>
    <w:rsid w:val="00111458"/>
    <w:rsid w:val="00120B92"/>
    <w:rsid w:val="00121D3F"/>
    <w:rsid w:val="0015073B"/>
    <w:rsid w:val="00174E54"/>
    <w:rsid w:val="00175C8D"/>
    <w:rsid w:val="00176F19"/>
    <w:rsid w:val="00184756"/>
    <w:rsid w:val="00191FEE"/>
    <w:rsid w:val="001A21A5"/>
    <w:rsid w:val="001B0EA7"/>
    <w:rsid w:val="001C3FDA"/>
    <w:rsid w:val="001C4777"/>
    <w:rsid w:val="001E1ED9"/>
    <w:rsid w:val="0020755B"/>
    <w:rsid w:val="0021346C"/>
    <w:rsid w:val="00220F17"/>
    <w:rsid w:val="00237F1E"/>
    <w:rsid w:val="002402E7"/>
    <w:rsid w:val="002431AE"/>
    <w:rsid w:val="00250CA1"/>
    <w:rsid w:val="00262C35"/>
    <w:rsid w:val="0026531E"/>
    <w:rsid w:val="00272C1D"/>
    <w:rsid w:val="00273136"/>
    <w:rsid w:val="00274AAE"/>
    <w:rsid w:val="00276E1E"/>
    <w:rsid w:val="00280669"/>
    <w:rsid w:val="00294BC2"/>
    <w:rsid w:val="002B388E"/>
    <w:rsid w:val="002C43A0"/>
    <w:rsid w:val="002D2D9E"/>
    <w:rsid w:val="002D4295"/>
    <w:rsid w:val="002E073E"/>
    <w:rsid w:val="0030677D"/>
    <w:rsid w:val="00311844"/>
    <w:rsid w:val="003223B7"/>
    <w:rsid w:val="003B3828"/>
    <w:rsid w:val="003C200C"/>
    <w:rsid w:val="003C6F04"/>
    <w:rsid w:val="003E3D04"/>
    <w:rsid w:val="00412EB9"/>
    <w:rsid w:val="00433CEB"/>
    <w:rsid w:val="00440643"/>
    <w:rsid w:val="00453133"/>
    <w:rsid w:val="00457744"/>
    <w:rsid w:val="004B63CE"/>
    <w:rsid w:val="004B6C0E"/>
    <w:rsid w:val="004E37CE"/>
    <w:rsid w:val="004E54F7"/>
    <w:rsid w:val="004F5044"/>
    <w:rsid w:val="00503AC4"/>
    <w:rsid w:val="00517261"/>
    <w:rsid w:val="00522E9C"/>
    <w:rsid w:val="00532075"/>
    <w:rsid w:val="00535B68"/>
    <w:rsid w:val="00541F20"/>
    <w:rsid w:val="0056596F"/>
    <w:rsid w:val="005663F1"/>
    <w:rsid w:val="00582E2A"/>
    <w:rsid w:val="005E55BA"/>
    <w:rsid w:val="00603807"/>
    <w:rsid w:val="006428E0"/>
    <w:rsid w:val="00646D1C"/>
    <w:rsid w:val="006524A2"/>
    <w:rsid w:val="006918D8"/>
    <w:rsid w:val="006963A1"/>
    <w:rsid w:val="006B55AA"/>
    <w:rsid w:val="006C6303"/>
    <w:rsid w:val="00704380"/>
    <w:rsid w:val="00705FE5"/>
    <w:rsid w:val="007116DF"/>
    <w:rsid w:val="007350A0"/>
    <w:rsid w:val="00747366"/>
    <w:rsid w:val="00750710"/>
    <w:rsid w:val="007511F5"/>
    <w:rsid w:val="00760B36"/>
    <w:rsid w:val="00763232"/>
    <w:rsid w:val="0077768E"/>
    <w:rsid w:val="007871DD"/>
    <w:rsid w:val="00790609"/>
    <w:rsid w:val="0079473A"/>
    <w:rsid w:val="007A1FE4"/>
    <w:rsid w:val="007A52E5"/>
    <w:rsid w:val="007A78EA"/>
    <w:rsid w:val="007D1C4E"/>
    <w:rsid w:val="007E15D5"/>
    <w:rsid w:val="0080293F"/>
    <w:rsid w:val="00804445"/>
    <w:rsid w:val="0083006F"/>
    <w:rsid w:val="00866513"/>
    <w:rsid w:val="0087467D"/>
    <w:rsid w:val="00886EBB"/>
    <w:rsid w:val="00893145"/>
    <w:rsid w:val="008A1765"/>
    <w:rsid w:val="008A730F"/>
    <w:rsid w:val="008B33AC"/>
    <w:rsid w:val="008C5212"/>
    <w:rsid w:val="008D35D7"/>
    <w:rsid w:val="008E44C3"/>
    <w:rsid w:val="008E4CEF"/>
    <w:rsid w:val="008F2CF7"/>
    <w:rsid w:val="008F5B8A"/>
    <w:rsid w:val="0092458C"/>
    <w:rsid w:val="00924A57"/>
    <w:rsid w:val="00931058"/>
    <w:rsid w:val="009323FC"/>
    <w:rsid w:val="0094702B"/>
    <w:rsid w:val="00961C11"/>
    <w:rsid w:val="00987B25"/>
    <w:rsid w:val="009931E9"/>
    <w:rsid w:val="00993BE8"/>
    <w:rsid w:val="009A250C"/>
    <w:rsid w:val="009B381A"/>
    <w:rsid w:val="009C05FE"/>
    <w:rsid w:val="009E67E1"/>
    <w:rsid w:val="009F05A8"/>
    <w:rsid w:val="00A01A50"/>
    <w:rsid w:val="00A15B1B"/>
    <w:rsid w:val="00A33233"/>
    <w:rsid w:val="00A50AF9"/>
    <w:rsid w:val="00A530BA"/>
    <w:rsid w:val="00A575FA"/>
    <w:rsid w:val="00AA32DB"/>
    <w:rsid w:val="00AD1357"/>
    <w:rsid w:val="00B006CB"/>
    <w:rsid w:val="00B059C0"/>
    <w:rsid w:val="00B10513"/>
    <w:rsid w:val="00B20636"/>
    <w:rsid w:val="00B27A4E"/>
    <w:rsid w:val="00B40E61"/>
    <w:rsid w:val="00B576DE"/>
    <w:rsid w:val="00B919F1"/>
    <w:rsid w:val="00B94183"/>
    <w:rsid w:val="00BC7A9C"/>
    <w:rsid w:val="00BC7ABD"/>
    <w:rsid w:val="00BD05DC"/>
    <w:rsid w:val="00BE0ACA"/>
    <w:rsid w:val="00BF11A4"/>
    <w:rsid w:val="00BF6BF6"/>
    <w:rsid w:val="00C17CD6"/>
    <w:rsid w:val="00C221DE"/>
    <w:rsid w:val="00C257E2"/>
    <w:rsid w:val="00C31AB8"/>
    <w:rsid w:val="00C37494"/>
    <w:rsid w:val="00C461A9"/>
    <w:rsid w:val="00C46AEE"/>
    <w:rsid w:val="00C47AB4"/>
    <w:rsid w:val="00C5159D"/>
    <w:rsid w:val="00C57FE9"/>
    <w:rsid w:val="00C70532"/>
    <w:rsid w:val="00C70ED8"/>
    <w:rsid w:val="00CA0FDA"/>
    <w:rsid w:val="00CB0B89"/>
    <w:rsid w:val="00CB66C9"/>
    <w:rsid w:val="00CB752B"/>
    <w:rsid w:val="00CC3540"/>
    <w:rsid w:val="00CC7CE1"/>
    <w:rsid w:val="00CE265F"/>
    <w:rsid w:val="00CE71FF"/>
    <w:rsid w:val="00CF237A"/>
    <w:rsid w:val="00D0202F"/>
    <w:rsid w:val="00D05A8B"/>
    <w:rsid w:val="00D1201C"/>
    <w:rsid w:val="00D4054C"/>
    <w:rsid w:val="00D45B83"/>
    <w:rsid w:val="00D668C5"/>
    <w:rsid w:val="00D71713"/>
    <w:rsid w:val="00D7530E"/>
    <w:rsid w:val="00D75B8C"/>
    <w:rsid w:val="00DA0081"/>
    <w:rsid w:val="00DA0849"/>
    <w:rsid w:val="00DA61BD"/>
    <w:rsid w:val="00DB665E"/>
    <w:rsid w:val="00DC4950"/>
    <w:rsid w:val="00DC684A"/>
    <w:rsid w:val="00DE5223"/>
    <w:rsid w:val="00DF7F51"/>
    <w:rsid w:val="00E01E1A"/>
    <w:rsid w:val="00E20CD0"/>
    <w:rsid w:val="00E23DA9"/>
    <w:rsid w:val="00E26799"/>
    <w:rsid w:val="00E37E3A"/>
    <w:rsid w:val="00E46530"/>
    <w:rsid w:val="00E71EBB"/>
    <w:rsid w:val="00E76EEF"/>
    <w:rsid w:val="00E965C0"/>
    <w:rsid w:val="00E9749C"/>
    <w:rsid w:val="00EC5C17"/>
    <w:rsid w:val="00EC6CF9"/>
    <w:rsid w:val="00F02794"/>
    <w:rsid w:val="00F10A0A"/>
    <w:rsid w:val="00F10B3C"/>
    <w:rsid w:val="00F13E3A"/>
    <w:rsid w:val="00F147A8"/>
    <w:rsid w:val="00F157E4"/>
    <w:rsid w:val="00F221F3"/>
    <w:rsid w:val="00F229DF"/>
    <w:rsid w:val="00F27AB1"/>
    <w:rsid w:val="00F43D64"/>
    <w:rsid w:val="00F51FD1"/>
    <w:rsid w:val="00F570B7"/>
    <w:rsid w:val="00F77D98"/>
    <w:rsid w:val="00F86D91"/>
    <w:rsid w:val="00FC61CB"/>
    <w:rsid w:val="00FF5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305039"/>
  <w15:chartTrackingRefBased/>
  <w15:docId w15:val="{A43AAAD5-2775-4DE4-A43C-FF229D25F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A61BD"/>
    <w:pPr>
      <w:suppressAutoHyphens/>
      <w:spacing w:after="0" w:line="240" w:lineRule="auto"/>
    </w:pPr>
    <w:rPr>
      <w:rFonts w:ascii="Times New Roman" w:eastAsia="Noto Sans CJK SC Regular" w:hAnsi="Times New Roman" w:cs="FreeSans"/>
      <w:lang w:eastAsia="zh-CN" w:bidi="hi-IN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DA61BD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 w:bidi="ar-SA"/>
      <w14:ligatures w14:val="standardContextual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DA61BD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 w:bidi="ar-SA"/>
      <w14:ligatures w14:val="standardContextual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DA61BD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 w:bidi="ar-SA"/>
      <w14:ligatures w14:val="standardContextual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DA61BD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eastAsia="en-US" w:bidi="ar-SA"/>
      <w14:ligatures w14:val="standardContextual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DA61BD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lang w:eastAsia="en-US" w:bidi="ar-SA"/>
      <w14:ligatures w14:val="standardContextual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DA61BD"/>
    <w:pPr>
      <w:keepNext/>
      <w:keepLines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 w:bidi="ar-SA"/>
      <w14:ligatures w14:val="standardContextual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DA61BD"/>
    <w:pPr>
      <w:keepNext/>
      <w:keepLines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 w:bidi="ar-SA"/>
      <w14:ligatures w14:val="standardContextual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DA61BD"/>
    <w:pPr>
      <w:keepNext/>
      <w:keepLines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 w:bidi="ar-SA"/>
      <w14:ligatures w14:val="standardContextual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DA61BD"/>
    <w:pPr>
      <w:keepNext/>
      <w:keepLines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 w:bidi="ar-SA"/>
      <w14:ligatures w14:val="standardContextual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DA61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DA61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DA61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DA61BD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DA61BD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DA61BD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DA61BD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DA61BD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DA61BD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DA61BD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CmChar">
    <w:name w:val="Cím Char"/>
    <w:basedOn w:val="Bekezdsalapbettpusa"/>
    <w:link w:val="Cm"/>
    <w:uiPriority w:val="10"/>
    <w:rsid w:val="00DA61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DA61BD"/>
    <w:pPr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 w:bidi="ar-SA"/>
      <w14:ligatures w14:val="standardContextual"/>
    </w:rPr>
  </w:style>
  <w:style w:type="character" w:customStyle="1" w:styleId="AlcmChar">
    <w:name w:val="Alcím Char"/>
    <w:basedOn w:val="Bekezdsalapbettpusa"/>
    <w:link w:val="Alcm"/>
    <w:uiPriority w:val="11"/>
    <w:rsid w:val="00DA61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DA61BD"/>
    <w:pPr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eastAsia="en-US" w:bidi="ar-SA"/>
      <w14:ligatures w14:val="standardContextual"/>
    </w:rPr>
  </w:style>
  <w:style w:type="character" w:customStyle="1" w:styleId="IdzetChar">
    <w:name w:val="Idézet Char"/>
    <w:basedOn w:val="Bekezdsalapbettpusa"/>
    <w:link w:val="Idzet"/>
    <w:uiPriority w:val="29"/>
    <w:rsid w:val="00DA61BD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DA61BD"/>
    <w:pPr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lang w:eastAsia="en-US" w:bidi="ar-SA"/>
      <w14:ligatures w14:val="standardContextual"/>
    </w:rPr>
  </w:style>
  <w:style w:type="character" w:styleId="Erskiemels">
    <w:name w:val="Intense Emphasis"/>
    <w:basedOn w:val="Bekezdsalapbettpusa"/>
    <w:uiPriority w:val="21"/>
    <w:qFormat/>
    <w:rsid w:val="00DA61BD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DA61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eastAsia="en-US" w:bidi="ar-SA"/>
      <w14:ligatures w14:val="standardContextual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DA61BD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DA61BD"/>
    <w:rPr>
      <w:b/>
      <w:bCs/>
      <w:smallCaps/>
      <w:color w:val="0F4761" w:themeColor="accent1" w:themeShade="BF"/>
      <w:spacing w:val="5"/>
    </w:rPr>
  </w:style>
  <w:style w:type="paragraph" w:styleId="Szvegtrzs">
    <w:name w:val="Body Text"/>
    <w:basedOn w:val="Norml"/>
    <w:link w:val="SzvegtrzsChar"/>
    <w:rsid w:val="00DA61BD"/>
    <w:pPr>
      <w:spacing w:after="140" w:line="288" w:lineRule="auto"/>
    </w:pPr>
  </w:style>
  <w:style w:type="character" w:customStyle="1" w:styleId="SzvegtrzsChar">
    <w:name w:val="Szövegtörzs Char"/>
    <w:basedOn w:val="Bekezdsalapbettpusa"/>
    <w:link w:val="Szvegtrzs"/>
    <w:rsid w:val="00DA61BD"/>
    <w:rPr>
      <w:rFonts w:ascii="Times New Roman" w:eastAsia="Noto Sans CJK SC Regular" w:hAnsi="Times New Roman" w:cs="FreeSans"/>
      <w:lang w:eastAsia="zh-CN" w:bidi="hi-IN"/>
      <w14:ligatures w14:val="none"/>
    </w:rPr>
  </w:style>
  <w:style w:type="paragraph" w:styleId="llb">
    <w:name w:val="footer"/>
    <w:basedOn w:val="Norml"/>
    <w:link w:val="llbChar"/>
    <w:rsid w:val="00DA61BD"/>
    <w:pPr>
      <w:suppressLineNumbers/>
      <w:tabs>
        <w:tab w:val="center" w:pos="4819"/>
        <w:tab w:val="right" w:pos="9638"/>
      </w:tabs>
    </w:pPr>
  </w:style>
  <w:style w:type="character" w:customStyle="1" w:styleId="llbChar">
    <w:name w:val="Élőláb Char"/>
    <w:basedOn w:val="Bekezdsalapbettpusa"/>
    <w:link w:val="llb"/>
    <w:rsid w:val="00DA61BD"/>
    <w:rPr>
      <w:rFonts w:ascii="Times New Roman" w:eastAsia="Noto Sans CJK SC Regular" w:hAnsi="Times New Roman" w:cs="FreeSans"/>
      <w:lang w:eastAsia="zh-CN" w:bidi="hi-IN"/>
      <w14:ligatures w14:val="none"/>
    </w:rPr>
  </w:style>
  <w:style w:type="paragraph" w:styleId="lfej">
    <w:name w:val="header"/>
    <w:basedOn w:val="Norml"/>
    <w:link w:val="lfejChar"/>
    <w:uiPriority w:val="99"/>
    <w:unhideWhenUsed/>
    <w:rsid w:val="009E67E1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lfejChar">
    <w:name w:val="Élőfej Char"/>
    <w:basedOn w:val="Bekezdsalapbettpusa"/>
    <w:link w:val="lfej"/>
    <w:uiPriority w:val="99"/>
    <w:rsid w:val="009E67E1"/>
    <w:rPr>
      <w:rFonts w:ascii="Times New Roman" w:eastAsia="Noto Sans CJK SC Regular" w:hAnsi="Times New Roman" w:cs="Mangal"/>
      <w:szCs w:val="21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0892432F7B5C404795C8269B09774B4B" ma:contentTypeVersion="15" ma:contentTypeDescription="Új dokumentum létrehozása." ma:contentTypeScope="" ma:versionID="0d69813341fdd08f585f1e1d9ed6b4b4">
  <xsd:schema xmlns:xsd="http://www.w3.org/2001/XMLSchema" xmlns:xs="http://www.w3.org/2001/XMLSchema" xmlns:p="http://schemas.microsoft.com/office/2006/metadata/properties" xmlns:ns2="a89329c4-60c8-4d1b-badd-1bfdc0281d6f" xmlns:ns3="66c6fa86-7d3a-4b54-b585-da21d50c8318" targetNamespace="http://schemas.microsoft.com/office/2006/metadata/properties" ma:root="true" ma:fieldsID="2e583363dad0ac65a530bcfc9fbb63a7" ns2:_="" ns3:_="">
    <xsd:import namespace="a89329c4-60c8-4d1b-badd-1bfdc0281d6f"/>
    <xsd:import namespace="66c6fa86-7d3a-4b54-b585-da21d50c831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9329c4-60c8-4d1b-badd-1bfdc0281d6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224b2694-ac47-4c8c-bce2-ac9030131f0e}" ma:internalName="TaxCatchAll" ma:showField="CatchAllData" ma:web="a89329c4-60c8-4d1b-badd-1bfdc0281d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c6fa86-7d3a-4b54-b585-da21d50c83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Képcímkék" ma:readOnly="false" ma:fieldId="{5cf76f15-5ced-4ddc-b409-7134ff3c332f}" ma:taxonomyMulti="true" ma:sspId="8ebc4ec4-f243-49fa-861e-5300404c93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6c6fa86-7d3a-4b54-b585-da21d50c8318">
      <Terms xmlns="http://schemas.microsoft.com/office/infopath/2007/PartnerControls"/>
    </lcf76f155ced4ddcb4097134ff3c332f>
    <TaxCatchAll xmlns="a89329c4-60c8-4d1b-badd-1bfdc0281d6f"/>
  </documentManagement>
</p:properties>
</file>

<file path=customXml/itemProps1.xml><?xml version="1.0" encoding="utf-8"?>
<ds:datastoreItem xmlns:ds="http://schemas.openxmlformats.org/officeDocument/2006/customXml" ds:itemID="{55F5EE2C-8A70-447D-A649-FA9DD4B02C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9329c4-60c8-4d1b-badd-1bfdc0281d6f"/>
    <ds:schemaRef ds:uri="66c6fa86-7d3a-4b54-b585-da21d50c83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1A6127B-5C14-4396-B976-7B951261E65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95AD3A9-85E8-43F8-B7BE-BC2DB31DA6A0}">
  <ds:schemaRefs>
    <ds:schemaRef ds:uri="http://www.w3.org/XML/1998/namespace"/>
    <ds:schemaRef ds:uri="http://schemas.microsoft.com/office/2006/metadata/properties"/>
    <ds:schemaRef ds:uri="http://schemas.microsoft.com/office/2006/documentManagement/types"/>
    <ds:schemaRef ds:uri="66c6fa86-7d3a-4b54-b585-da21d50c8318"/>
    <ds:schemaRef ds:uri="http://purl.org/dc/dcmitype/"/>
    <ds:schemaRef ds:uri="a89329c4-60c8-4d1b-badd-1bfdc0281d6f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2642</Words>
  <Characters>18234</Characters>
  <Application>Microsoft Office Word</Application>
  <DocSecurity>4</DocSecurity>
  <Lines>151</Lines>
  <Paragraphs>41</Paragraphs>
  <ScaleCrop>false</ScaleCrop>
  <Company/>
  <LinksUpToDate>false</LinksUpToDate>
  <CharactersWithSpaces>20835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Lábody-Varga Dorina</dc:creator>
  <cp:keywords/>
  <dc:description/>
  <cp:lastModifiedBy>Már Csilla Beatrix</cp:lastModifiedBy>
  <cp:revision>2</cp:revision>
  <dcterms:created xsi:type="dcterms:W3CDTF">2025-12-16T10:05:00Z</dcterms:created>
  <dcterms:modified xsi:type="dcterms:W3CDTF">2025-12-16T10:05:00Z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0x0101000892432F7B5C404795C8269B09774B4B</vt:lpwstr>
  </property>
</Properties>
</file>